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45" w:rsidRPr="00C20656" w:rsidRDefault="00F30DF4" w:rsidP="00C2065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154312">
        <w:rPr>
          <w:rFonts w:ascii="Times New Roman" w:hAnsi="Times New Roman" w:cs="Times New Roman"/>
          <w:b/>
          <w:sz w:val="24"/>
          <w:szCs w:val="24"/>
        </w:rPr>
        <w:t xml:space="preserve"> </w:t>
      </w:r>
      <w:proofErr w:type="spellStart"/>
      <w:r w:rsidR="00C33C91">
        <w:rPr>
          <w:rFonts w:ascii="Times New Roman" w:hAnsi="Times New Roman" w:cs="Times New Roman"/>
          <w:b/>
          <w:sz w:val="24"/>
          <w:szCs w:val="24"/>
        </w:rPr>
        <w:t>Dépatrimonialisation</w:t>
      </w:r>
      <w:proofErr w:type="spellEnd"/>
      <w:r w:rsidR="00C33C91">
        <w:rPr>
          <w:rFonts w:ascii="Times New Roman" w:hAnsi="Times New Roman" w:cs="Times New Roman"/>
          <w:b/>
          <w:sz w:val="24"/>
          <w:szCs w:val="24"/>
        </w:rPr>
        <w:t xml:space="preserve"> </w:t>
      </w:r>
      <w:r w:rsidR="003D3716" w:rsidRPr="007112D2">
        <w:rPr>
          <w:rFonts w:ascii="Times New Roman" w:hAnsi="Times New Roman" w:cs="Times New Roman"/>
          <w:b/>
          <w:sz w:val="24"/>
          <w:szCs w:val="24"/>
        </w:rPr>
        <w:t xml:space="preserve"> en</w:t>
      </w:r>
      <w:r w:rsidR="00F66DDF">
        <w:rPr>
          <w:rFonts w:ascii="Times New Roman" w:hAnsi="Times New Roman" w:cs="Times New Roman"/>
          <w:b/>
          <w:sz w:val="24"/>
          <w:szCs w:val="24"/>
        </w:rPr>
        <w:t xml:space="preserve"> milieu urbain et péri-</w:t>
      </w:r>
      <w:r w:rsidR="00F66DDF" w:rsidRPr="007112D2">
        <w:rPr>
          <w:rFonts w:ascii="Times New Roman" w:hAnsi="Times New Roman" w:cs="Times New Roman"/>
          <w:b/>
          <w:sz w:val="24"/>
          <w:szCs w:val="24"/>
        </w:rPr>
        <w:t>urbain</w:t>
      </w:r>
      <w:r w:rsidR="006624DB">
        <w:rPr>
          <w:rFonts w:ascii="Times New Roman" w:hAnsi="Times New Roman" w:cs="Times New Roman"/>
          <w:b/>
          <w:sz w:val="24"/>
          <w:szCs w:val="24"/>
        </w:rPr>
        <w:t xml:space="preserve"> au C</w:t>
      </w:r>
      <w:r w:rsidR="00D220F5" w:rsidRPr="007112D2">
        <w:rPr>
          <w:rFonts w:ascii="Times New Roman" w:hAnsi="Times New Roman" w:cs="Times New Roman"/>
          <w:b/>
          <w:sz w:val="24"/>
          <w:szCs w:val="24"/>
        </w:rPr>
        <w:t>ameroun</w:t>
      </w:r>
      <w:r w:rsidR="00EA6954" w:rsidRPr="007112D2">
        <w:rPr>
          <w:rFonts w:ascii="Times New Roman" w:hAnsi="Times New Roman" w:cs="Times New Roman"/>
          <w:b/>
          <w:sz w:val="24"/>
          <w:szCs w:val="24"/>
        </w:rPr>
        <w:t> :</w:t>
      </w:r>
      <w:r w:rsidR="00184463">
        <w:rPr>
          <w:rFonts w:ascii="Times New Roman" w:hAnsi="Times New Roman" w:cs="Times New Roman"/>
          <w:b/>
          <w:sz w:val="24"/>
          <w:szCs w:val="24"/>
        </w:rPr>
        <w:t xml:space="preserve"> l</w:t>
      </w:r>
      <w:r w:rsidR="00F61DAE">
        <w:rPr>
          <w:rFonts w:ascii="Times New Roman" w:hAnsi="Times New Roman" w:cs="Times New Roman"/>
          <w:b/>
          <w:sz w:val="24"/>
          <w:szCs w:val="24"/>
        </w:rPr>
        <w:t>’</w:t>
      </w:r>
      <w:proofErr w:type="spellStart"/>
      <w:r w:rsidR="00F61DAE">
        <w:rPr>
          <w:rFonts w:ascii="Times New Roman" w:hAnsi="Times New Roman" w:cs="Times New Roman"/>
          <w:b/>
          <w:sz w:val="24"/>
          <w:szCs w:val="24"/>
        </w:rPr>
        <w:t>abaliété</w:t>
      </w:r>
      <w:proofErr w:type="spellEnd"/>
      <w:r w:rsidR="00AD352B">
        <w:rPr>
          <w:rFonts w:ascii="Times New Roman" w:hAnsi="Times New Roman" w:cs="Times New Roman"/>
          <w:b/>
          <w:sz w:val="24"/>
          <w:szCs w:val="24"/>
        </w:rPr>
        <w:t xml:space="preserve"> </w:t>
      </w:r>
      <w:r w:rsidR="00AD352B" w:rsidRPr="00C20656">
        <w:rPr>
          <w:rFonts w:ascii="Times New Roman" w:hAnsi="Times New Roman" w:cs="Times New Roman"/>
          <w:b/>
          <w:sz w:val="24"/>
          <w:szCs w:val="24"/>
        </w:rPr>
        <w:t>juridique</w:t>
      </w:r>
      <w:r w:rsidR="00F61DAE" w:rsidRPr="00C20656">
        <w:rPr>
          <w:rFonts w:ascii="Times New Roman" w:hAnsi="Times New Roman" w:cs="Times New Roman"/>
          <w:b/>
          <w:sz w:val="24"/>
          <w:szCs w:val="24"/>
        </w:rPr>
        <w:t xml:space="preserve"> </w:t>
      </w:r>
      <w:r w:rsidR="00494DBB" w:rsidRPr="00C20656">
        <w:rPr>
          <w:rFonts w:ascii="Times New Roman" w:hAnsi="Times New Roman" w:cs="Times New Roman"/>
          <w:b/>
          <w:sz w:val="24"/>
          <w:szCs w:val="24"/>
        </w:rPr>
        <w:t xml:space="preserve">comme </w:t>
      </w:r>
      <w:r w:rsidR="00C03CFA" w:rsidRPr="00C20656">
        <w:rPr>
          <w:rFonts w:ascii="Times New Roman" w:hAnsi="Times New Roman" w:cs="Times New Roman"/>
          <w:b/>
          <w:sz w:val="24"/>
          <w:szCs w:val="24"/>
        </w:rPr>
        <w:t xml:space="preserve">levier </w:t>
      </w:r>
      <w:r w:rsidR="00E071EC" w:rsidRPr="00C20656">
        <w:rPr>
          <w:rFonts w:ascii="Times New Roman" w:hAnsi="Times New Roman" w:cs="Times New Roman"/>
          <w:b/>
          <w:sz w:val="24"/>
          <w:szCs w:val="24"/>
        </w:rPr>
        <w:t xml:space="preserve">du </w:t>
      </w:r>
      <w:r w:rsidR="00184463" w:rsidRPr="00C20656">
        <w:rPr>
          <w:rFonts w:ascii="Times New Roman" w:hAnsi="Times New Roman" w:cs="Times New Roman"/>
          <w:b/>
          <w:sz w:val="24"/>
          <w:szCs w:val="24"/>
        </w:rPr>
        <w:t>l</w:t>
      </w:r>
      <w:r w:rsidR="00B17F81" w:rsidRPr="00C20656">
        <w:rPr>
          <w:rFonts w:ascii="Times New Roman" w:hAnsi="Times New Roman" w:cs="Times New Roman"/>
          <w:b/>
          <w:sz w:val="24"/>
          <w:szCs w:val="24"/>
        </w:rPr>
        <w:t>and</w:t>
      </w:r>
      <w:r w:rsidR="00184463" w:rsidRPr="00C20656">
        <w:rPr>
          <w:rFonts w:ascii="Times New Roman" w:hAnsi="Times New Roman" w:cs="Times New Roman"/>
          <w:b/>
          <w:sz w:val="24"/>
          <w:szCs w:val="24"/>
        </w:rPr>
        <w:t xml:space="preserve"> </w:t>
      </w:r>
      <w:proofErr w:type="spellStart"/>
      <w:r w:rsidR="00184463" w:rsidRPr="00C20656">
        <w:rPr>
          <w:rFonts w:ascii="Times New Roman" w:hAnsi="Times New Roman" w:cs="Times New Roman"/>
          <w:b/>
          <w:sz w:val="24"/>
          <w:szCs w:val="24"/>
        </w:rPr>
        <w:t>pooling</w:t>
      </w:r>
      <w:proofErr w:type="spellEnd"/>
      <w:r w:rsidR="00184463" w:rsidRPr="00C20656">
        <w:rPr>
          <w:rFonts w:ascii="Times New Roman" w:hAnsi="Times New Roman" w:cs="Times New Roman"/>
          <w:b/>
          <w:sz w:val="24"/>
          <w:szCs w:val="24"/>
        </w:rPr>
        <w:t xml:space="preserve"> et du land </w:t>
      </w:r>
      <w:proofErr w:type="spellStart"/>
      <w:r w:rsidR="00184463" w:rsidRPr="00C20656">
        <w:rPr>
          <w:rFonts w:ascii="Times New Roman" w:hAnsi="Times New Roman" w:cs="Times New Roman"/>
          <w:b/>
          <w:sz w:val="24"/>
          <w:szCs w:val="24"/>
        </w:rPr>
        <w:t>r</w:t>
      </w:r>
      <w:r w:rsidR="00B17F81" w:rsidRPr="00C20656">
        <w:rPr>
          <w:rFonts w:ascii="Times New Roman" w:hAnsi="Times New Roman" w:cs="Times New Roman"/>
          <w:b/>
          <w:sz w:val="24"/>
          <w:szCs w:val="24"/>
        </w:rPr>
        <w:t>eadjustment</w:t>
      </w:r>
      <w:proofErr w:type="spellEnd"/>
      <w:r w:rsidR="00494DBB" w:rsidRPr="00C20656">
        <w:rPr>
          <w:rFonts w:ascii="Times New Roman" w:hAnsi="Times New Roman" w:cs="Times New Roman"/>
          <w:b/>
          <w:sz w:val="24"/>
          <w:szCs w:val="24"/>
        </w:rPr>
        <w:t> </w:t>
      </w:r>
      <w:r w:rsidR="00F61DAE" w:rsidRPr="00C20656">
        <w:rPr>
          <w:rFonts w:ascii="Times New Roman" w:hAnsi="Times New Roman" w:cs="Times New Roman"/>
          <w:b/>
          <w:sz w:val="24"/>
          <w:szCs w:val="24"/>
        </w:rPr>
        <w:t xml:space="preserve"> </w:t>
      </w:r>
      <w:r w:rsidR="002E08E9" w:rsidRPr="00C20656">
        <w:rPr>
          <w:rFonts w:ascii="Times New Roman" w:hAnsi="Times New Roman" w:cs="Times New Roman"/>
          <w:b/>
          <w:sz w:val="24"/>
          <w:szCs w:val="24"/>
        </w:rPr>
        <w:t xml:space="preserve"> </w:t>
      </w:r>
    </w:p>
    <w:p w:rsidR="00111B86" w:rsidRPr="00C20656" w:rsidRDefault="00F71435"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Si l</w:t>
      </w:r>
      <w:r w:rsidR="00652083" w:rsidRPr="00C20656">
        <w:rPr>
          <w:rFonts w:ascii="Times New Roman" w:hAnsi="Times New Roman" w:cs="Times New Roman"/>
          <w:sz w:val="24"/>
          <w:szCs w:val="24"/>
        </w:rPr>
        <w:t>e couple  propriété</w:t>
      </w:r>
      <w:r w:rsidR="0056053D" w:rsidRPr="00C20656">
        <w:rPr>
          <w:rFonts w:ascii="Times New Roman" w:hAnsi="Times New Roman" w:cs="Times New Roman"/>
          <w:sz w:val="24"/>
          <w:szCs w:val="24"/>
        </w:rPr>
        <w:t xml:space="preserve"> /</w:t>
      </w:r>
      <w:r w:rsidR="00622833" w:rsidRPr="00C20656">
        <w:rPr>
          <w:rFonts w:ascii="Times New Roman" w:hAnsi="Times New Roman" w:cs="Times New Roman"/>
          <w:sz w:val="24"/>
          <w:szCs w:val="24"/>
        </w:rPr>
        <w:t>patrimoine</w:t>
      </w:r>
      <w:r w:rsidR="0056053D" w:rsidRPr="00C20656">
        <w:rPr>
          <w:rFonts w:ascii="Times New Roman" w:hAnsi="Times New Roman" w:cs="Times New Roman"/>
          <w:sz w:val="24"/>
          <w:szCs w:val="24"/>
        </w:rPr>
        <w:t xml:space="preserve">  </w:t>
      </w:r>
      <w:r w:rsidR="00CE4002" w:rsidRPr="00C20656">
        <w:rPr>
          <w:rFonts w:ascii="Times New Roman" w:hAnsi="Times New Roman" w:cs="Times New Roman"/>
          <w:sz w:val="24"/>
          <w:szCs w:val="24"/>
        </w:rPr>
        <w:t>est scellé  sous un</w:t>
      </w:r>
      <w:r w:rsidR="00622833" w:rsidRPr="00C20656">
        <w:rPr>
          <w:rFonts w:ascii="Times New Roman" w:hAnsi="Times New Roman" w:cs="Times New Roman"/>
          <w:sz w:val="24"/>
          <w:szCs w:val="24"/>
        </w:rPr>
        <w:t xml:space="preserve"> pri</w:t>
      </w:r>
      <w:r w:rsidRPr="00C20656">
        <w:rPr>
          <w:rFonts w:ascii="Times New Roman" w:hAnsi="Times New Roman" w:cs="Times New Roman"/>
          <w:sz w:val="24"/>
          <w:szCs w:val="24"/>
        </w:rPr>
        <w:t xml:space="preserve">sme </w:t>
      </w:r>
      <w:r w:rsidR="007263D4" w:rsidRPr="00C20656">
        <w:rPr>
          <w:rFonts w:ascii="Times New Roman" w:hAnsi="Times New Roman" w:cs="Times New Roman"/>
          <w:sz w:val="24"/>
          <w:szCs w:val="24"/>
        </w:rPr>
        <w:t>différentiel</w:t>
      </w:r>
      <w:r w:rsidR="00CE4002" w:rsidRPr="00C20656">
        <w:rPr>
          <w:rFonts w:ascii="Times New Roman" w:hAnsi="Times New Roman" w:cs="Times New Roman"/>
          <w:sz w:val="24"/>
          <w:szCs w:val="24"/>
        </w:rPr>
        <w:t> :</w:t>
      </w:r>
      <w:r w:rsidR="0056053D" w:rsidRPr="00C20656">
        <w:rPr>
          <w:rFonts w:ascii="Times New Roman" w:hAnsi="Times New Roman" w:cs="Times New Roman"/>
          <w:sz w:val="24"/>
          <w:szCs w:val="24"/>
        </w:rPr>
        <w:t> </w:t>
      </w:r>
      <w:r w:rsidR="00622833" w:rsidRPr="00C20656">
        <w:rPr>
          <w:rFonts w:ascii="Times New Roman" w:hAnsi="Times New Roman" w:cs="Times New Roman"/>
          <w:sz w:val="24"/>
          <w:szCs w:val="24"/>
        </w:rPr>
        <w:t>« l’opposition entre patrimoine et propriété peut se résumer en celle de la circulation communautaire et de l’aliénation »</w:t>
      </w:r>
      <w:r w:rsidR="00AF5855" w:rsidRPr="00C20656">
        <w:rPr>
          <w:rFonts w:ascii="Times New Roman" w:hAnsi="Times New Roman" w:cs="Times New Roman"/>
          <w:sz w:val="24"/>
          <w:szCs w:val="24"/>
        </w:rPr>
        <w:t>,</w:t>
      </w:r>
      <w:r w:rsidR="00622833" w:rsidRPr="00C20656">
        <w:rPr>
          <w:rStyle w:val="Appelnotedebasdep"/>
          <w:rFonts w:ascii="Times New Roman" w:hAnsi="Times New Roman" w:cs="Times New Roman"/>
          <w:sz w:val="24"/>
          <w:szCs w:val="24"/>
        </w:rPr>
        <w:footnoteReference w:id="1"/>
      </w:r>
      <w:r w:rsidR="0056053D"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on n’en  saurait dire </w:t>
      </w:r>
      <w:r w:rsidR="007263D4" w:rsidRPr="00C20656">
        <w:rPr>
          <w:rFonts w:ascii="Times New Roman" w:hAnsi="Times New Roman" w:cs="Times New Roman"/>
          <w:sz w:val="24"/>
          <w:szCs w:val="24"/>
        </w:rPr>
        <w:t xml:space="preserve">autant </w:t>
      </w:r>
      <w:r w:rsidR="00552E8B" w:rsidRPr="00C20656">
        <w:rPr>
          <w:rFonts w:ascii="Times New Roman" w:hAnsi="Times New Roman" w:cs="Times New Roman"/>
          <w:sz w:val="24"/>
          <w:szCs w:val="24"/>
        </w:rPr>
        <w:t>sur</w:t>
      </w:r>
      <w:r w:rsidRPr="00C20656">
        <w:rPr>
          <w:rFonts w:ascii="Times New Roman" w:hAnsi="Times New Roman" w:cs="Times New Roman"/>
          <w:sz w:val="24"/>
          <w:szCs w:val="24"/>
        </w:rPr>
        <w:t xml:space="preserve"> </w:t>
      </w:r>
      <w:r w:rsidR="00AF5855" w:rsidRPr="00C20656">
        <w:rPr>
          <w:rFonts w:ascii="Times New Roman" w:hAnsi="Times New Roman" w:cs="Times New Roman"/>
          <w:sz w:val="24"/>
          <w:szCs w:val="24"/>
        </w:rPr>
        <w:t xml:space="preserve"> </w:t>
      </w:r>
      <w:r w:rsidR="00813EFB" w:rsidRPr="00C20656">
        <w:rPr>
          <w:rFonts w:ascii="Times New Roman" w:hAnsi="Times New Roman" w:cs="Times New Roman"/>
          <w:sz w:val="24"/>
          <w:szCs w:val="24"/>
        </w:rPr>
        <w:t xml:space="preserve">la paire  domaine/patrimoine </w:t>
      </w:r>
      <w:r w:rsidRPr="00C20656">
        <w:rPr>
          <w:rFonts w:ascii="Times New Roman" w:hAnsi="Times New Roman" w:cs="Times New Roman"/>
          <w:sz w:val="24"/>
          <w:szCs w:val="24"/>
        </w:rPr>
        <w:t xml:space="preserve">dans </w:t>
      </w:r>
      <w:r w:rsidR="00652083" w:rsidRPr="00C20656">
        <w:rPr>
          <w:rFonts w:ascii="Times New Roman" w:hAnsi="Times New Roman" w:cs="Times New Roman"/>
          <w:sz w:val="24"/>
          <w:szCs w:val="24"/>
        </w:rPr>
        <w:t xml:space="preserve"> la réflexion</w:t>
      </w:r>
      <w:r w:rsidR="00AF5855" w:rsidRPr="00C20656">
        <w:rPr>
          <w:rFonts w:ascii="Times New Roman" w:hAnsi="Times New Roman" w:cs="Times New Roman"/>
          <w:sz w:val="24"/>
          <w:szCs w:val="24"/>
        </w:rPr>
        <w:t xml:space="preserve"> foncière</w:t>
      </w:r>
      <w:r w:rsidR="004D34E6" w:rsidRPr="00C20656">
        <w:rPr>
          <w:rFonts w:ascii="Times New Roman" w:hAnsi="Times New Roman" w:cs="Times New Roman"/>
          <w:sz w:val="24"/>
          <w:szCs w:val="24"/>
        </w:rPr>
        <w:t xml:space="preserve">. </w:t>
      </w:r>
      <w:r w:rsidR="00652083" w:rsidRPr="00C20656">
        <w:rPr>
          <w:rFonts w:ascii="Times New Roman" w:hAnsi="Times New Roman" w:cs="Times New Roman"/>
          <w:sz w:val="24"/>
          <w:szCs w:val="24"/>
        </w:rPr>
        <w:t>Peut-être parce que</w:t>
      </w:r>
      <w:r w:rsidR="00AF5855" w:rsidRPr="00C20656">
        <w:rPr>
          <w:rFonts w:ascii="Times New Roman" w:hAnsi="Times New Roman" w:cs="Times New Roman"/>
          <w:sz w:val="24"/>
          <w:szCs w:val="24"/>
        </w:rPr>
        <w:t xml:space="preserve"> </w:t>
      </w:r>
      <w:r w:rsidR="00813EFB" w:rsidRPr="00C20656">
        <w:rPr>
          <w:rFonts w:ascii="Times New Roman" w:hAnsi="Times New Roman" w:cs="Times New Roman"/>
          <w:sz w:val="24"/>
          <w:szCs w:val="24"/>
        </w:rPr>
        <w:t>le Domaine et le P</w:t>
      </w:r>
      <w:r w:rsidR="00652083" w:rsidRPr="00C20656">
        <w:rPr>
          <w:rFonts w:ascii="Times New Roman" w:hAnsi="Times New Roman" w:cs="Times New Roman"/>
          <w:sz w:val="24"/>
          <w:szCs w:val="24"/>
        </w:rPr>
        <w:t>atrimoine</w:t>
      </w:r>
      <w:r w:rsidR="004D34E6" w:rsidRPr="00C20656">
        <w:rPr>
          <w:rFonts w:ascii="Times New Roman" w:hAnsi="Times New Roman" w:cs="Times New Roman"/>
          <w:sz w:val="24"/>
          <w:szCs w:val="24"/>
        </w:rPr>
        <w:t xml:space="preserve"> </w:t>
      </w:r>
      <w:r w:rsidR="00E37054" w:rsidRPr="00C20656">
        <w:rPr>
          <w:rFonts w:ascii="Times New Roman" w:hAnsi="Times New Roman" w:cs="Times New Roman"/>
          <w:sz w:val="24"/>
          <w:szCs w:val="24"/>
        </w:rPr>
        <w:t>forment la seule fac</w:t>
      </w:r>
      <w:r w:rsidR="00F44BF7" w:rsidRPr="00C20656">
        <w:rPr>
          <w:rFonts w:ascii="Times New Roman" w:hAnsi="Times New Roman" w:cs="Times New Roman"/>
          <w:sz w:val="24"/>
          <w:szCs w:val="24"/>
        </w:rPr>
        <w:t xml:space="preserve">e de Janus qu’on ne saurait dévisager </w:t>
      </w:r>
      <w:r w:rsidR="006624DB">
        <w:rPr>
          <w:rFonts w:ascii="Times New Roman" w:hAnsi="Times New Roman" w:cs="Times New Roman"/>
          <w:sz w:val="24"/>
          <w:szCs w:val="24"/>
        </w:rPr>
        <w:t>en raison de leur ipséité.</w:t>
      </w:r>
      <w:r w:rsidR="001F681C" w:rsidRPr="00C20656">
        <w:rPr>
          <w:rFonts w:ascii="Times New Roman" w:hAnsi="Times New Roman" w:cs="Times New Roman"/>
          <w:sz w:val="24"/>
          <w:szCs w:val="24"/>
        </w:rPr>
        <w:t xml:space="preserve"> </w:t>
      </w:r>
      <w:r w:rsidR="00F44BF7" w:rsidRPr="00C20656">
        <w:rPr>
          <w:rFonts w:ascii="Times New Roman" w:hAnsi="Times New Roman" w:cs="Times New Roman"/>
          <w:sz w:val="24"/>
          <w:szCs w:val="24"/>
        </w:rPr>
        <w:t>En effet, tout ce qui touche au domaine</w:t>
      </w:r>
      <w:r w:rsidR="008A1D6C" w:rsidRPr="00C20656">
        <w:rPr>
          <w:rFonts w:ascii="Times New Roman" w:hAnsi="Times New Roman" w:cs="Times New Roman"/>
          <w:sz w:val="24"/>
          <w:szCs w:val="24"/>
        </w:rPr>
        <w:t xml:space="preserve"> </w:t>
      </w:r>
      <w:r w:rsidR="00FA0C9F" w:rsidRPr="00C20656">
        <w:rPr>
          <w:rFonts w:ascii="Times New Roman" w:hAnsi="Times New Roman" w:cs="Times New Roman"/>
          <w:sz w:val="24"/>
          <w:szCs w:val="24"/>
        </w:rPr>
        <w:t xml:space="preserve">sur un espace quelconque </w:t>
      </w:r>
      <w:r w:rsidR="00D065FA" w:rsidRPr="00C20656">
        <w:rPr>
          <w:rFonts w:ascii="Times New Roman" w:hAnsi="Times New Roman" w:cs="Times New Roman"/>
          <w:sz w:val="24"/>
          <w:szCs w:val="24"/>
        </w:rPr>
        <w:t>relève</w:t>
      </w:r>
      <w:r w:rsidR="008A1D6C" w:rsidRPr="00C20656">
        <w:rPr>
          <w:rFonts w:ascii="Times New Roman" w:hAnsi="Times New Roman" w:cs="Times New Roman"/>
          <w:sz w:val="24"/>
          <w:szCs w:val="24"/>
        </w:rPr>
        <w:t xml:space="preserve"> intrinsèquement</w:t>
      </w:r>
      <w:r w:rsidR="006624DB">
        <w:rPr>
          <w:rFonts w:ascii="Times New Roman" w:hAnsi="Times New Roman" w:cs="Times New Roman"/>
          <w:sz w:val="24"/>
          <w:szCs w:val="24"/>
        </w:rPr>
        <w:t xml:space="preserve"> du patrimoine. </w:t>
      </w:r>
      <w:r w:rsidR="00326F57" w:rsidRPr="00C20656">
        <w:rPr>
          <w:rFonts w:ascii="Times New Roman" w:hAnsi="Times New Roman" w:cs="Times New Roman"/>
          <w:sz w:val="24"/>
          <w:szCs w:val="24"/>
        </w:rPr>
        <w:t xml:space="preserve"> </w:t>
      </w:r>
      <w:r w:rsidR="00054ECC" w:rsidRPr="00C20656">
        <w:rPr>
          <w:rFonts w:ascii="Times New Roman" w:hAnsi="Times New Roman" w:cs="Times New Roman"/>
          <w:sz w:val="24"/>
          <w:szCs w:val="24"/>
        </w:rPr>
        <w:t xml:space="preserve">En </w:t>
      </w:r>
      <w:r w:rsidR="0044402D" w:rsidRPr="00C20656">
        <w:rPr>
          <w:rFonts w:ascii="Times New Roman" w:hAnsi="Times New Roman" w:cs="Times New Roman"/>
          <w:sz w:val="24"/>
          <w:szCs w:val="24"/>
        </w:rPr>
        <w:t>mobilisant</w:t>
      </w:r>
      <w:r w:rsidR="00D065FA" w:rsidRPr="00C20656">
        <w:rPr>
          <w:rFonts w:ascii="Times New Roman" w:hAnsi="Times New Roman" w:cs="Times New Roman"/>
          <w:sz w:val="24"/>
          <w:szCs w:val="24"/>
        </w:rPr>
        <w:t xml:space="preserve"> donc </w:t>
      </w:r>
      <w:r w:rsidR="0044402D" w:rsidRPr="00C20656">
        <w:rPr>
          <w:rFonts w:ascii="Times New Roman" w:hAnsi="Times New Roman" w:cs="Times New Roman"/>
          <w:sz w:val="24"/>
          <w:szCs w:val="24"/>
        </w:rPr>
        <w:t xml:space="preserve">dans un rapport antagoniste </w:t>
      </w:r>
      <w:r w:rsidR="00054ECC" w:rsidRPr="00C20656">
        <w:rPr>
          <w:rFonts w:ascii="Times New Roman" w:hAnsi="Times New Roman" w:cs="Times New Roman"/>
          <w:sz w:val="24"/>
          <w:szCs w:val="24"/>
        </w:rPr>
        <w:t xml:space="preserve">les concepts de </w:t>
      </w:r>
      <w:proofErr w:type="spellStart"/>
      <w:r w:rsidR="00054ECC" w:rsidRPr="00C20656">
        <w:rPr>
          <w:rFonts w:ascii="Times New Roman" w:hAnsi="Times New Roman" w:cs="Times New Roman"/>
          <w:sz w:val="24"/>
          <w:szCs w:val="24"/>
        </w:rPr>
        <w:t>domanialisation</w:t>
      </w:r>
      <w:proofErr w:type="spellEnd"/>
      <w:r w:rsidR="00054ECC" w:rsidRPr="00C20656">
        <w:rPr>
          <w:rFonts w:ascii="Times New Roman" w:hAnsi="Times New Roman" w:cs="Times New Roman"/>
          <w:sz w:val="24"/>
          <w:szCs w:val="24"/>
        </w:rPr>
        <w:t xml:space="preserve"> et de </w:t>
      </w:r>
      <w:proofErr w:type="spellStart"/>
      <w:r w:rsidR="00054ECC" w:rsidRPr="00C20656">
        <w:rPr>
          <w:rFonts w:ascii="Times New Roman" w:hAnsi="Times New Roman" w:cs="Times New Roman"/>
          <w:sz w:val="24"/>
          <w:szCs w:val="24"/>
        </w:rPr>
        <w:t>dépatrimo</w:t>
      </w:r>
      <w:r w:rsidR="0044402D" w:rsidRPr="00C20656">
        <w:rPr>
          <w:rFonts w:ascii="Times New Roman" w:hAnsi="Times New Roman" w:cs="Times New Roman"/>
          <w:sz w:val="24"/>
          <w:szCs w:val="24"/>
        </w:rPr>
        <w:t>nialisation</w:t>
      </w:r>
      <w:proofErr w:type="spellEnd"/>
      <w:r w:rsidR="00C6330C" w:rsidRPr="00C20656">
        <w:rPr>
          <w:rFonts w:ascii="Times New Roman" w:hAnsi="Times New Roman" w:cs="Times New Roman"/>
          <w:sz w:val="24"/>
          <w:szCs w:val="24"/>
        </w:rPr>
        <w:t>,</w:t>
      </w:r>
      <w:r w:rsidR="00BE41BB" w:rsidRPr="00C20656">
        <w:rPr>
          <w:rFonts w:ascii="Times New Roman" w:hAnsi="Times New Roman" w:cs="Times New Roman"/>
          <w:sz w:val="24"/>
          <w:szCs w:val="24"/>
        </w:rPr>
        <w:t xml:space="preserve"> </w:t>
      </w:r>
      <w:r w:rsidR="000D4FB9" w:rsidRPr="00C20656">
        <w:rPr>
          <w:rFonts w:ascii="Times New Roman" w:hAnsi="Times New Roman" w:cs="Times New Roman"/>
          <w:sz w:val="24"/>
          <w:szCs w:val="24"/>
        </w:rPr>
        <w:t xml:space="preserve"> </w:t>
      </w:r>
      <w:r w:rsidR="0044402D" w:rsidRPr="00C20656">
        <w:rPr>
          <w:rFonts w:ascii="Times New Roman" w:hAnsi="Times New Roman" w:cs="Times New Roman"/>
          <w:sz w:val="24"/>
          <w:szCs w:val="24"/>
        </w:rPr>
        <w:t xml:space="preserve">tout juriste  </w:t>
      </w:r>
      <w:r w:rsidR="00C6330C" w:rsidRPr="00C20656">
        <w:rPr>
          <w:rFonts w:ascii="Times New Roman" w:hAnsi="Times New Roman" w:cs="Times New Roman"/>
          <w:sz w:val="24"/>
          <w:szCs w:val="24"/>
        </w:rPr>
        <w:t xml:space="preserve"> nous </w:t>
      </w:r>
      <w:r w:rsidR="0044402D" w:rsidRPr="00C20656">
        <w:rPr>
          <w:rFonts w:ascii="Times New Roman" w:hAnsi="Times New Roman" w:cs="Times New Roman"/>
          <w:sz w:val="24"/>
          <w:szCs w:val="24"/>
        </w:rPr>
        <w:t>objecterai</w:t>
      </w:r>
      <w:r w:rsidR="00C6330C" w:rsidRPr="00C20656">
        <w:rPr>
          <w:rFonts w:ascii="Times New Roman" w:hAnsi="Times New Roman" w:cs="Times New Roman"/>
          <w:sz w:val="24"/>
          <w:szCs w:val="24"/>
        </w:rPr>
        <w:t xml:space="preserve">t de bonnes raisons contre une </w:t>
      </w:r>
      <w:r w:rsidR="0044402D" w:rsidRPr="00C20656">
        <w:rPr>
          <w:rFonts w:ascii="Times New Roman" w:hAnsi="Times New Roman" w:cs="Times New Roman"/>
          <w:sz w:val="24"/>
          <w:szCs w:val="24"/>
        </w:rPr>
        <w:t>antinomie</w:t>
      </w:r>
      <w:r w:rsidR="00DA3C02" w:rsidRPr="00C20656">
        <w:rPr>
          <w:rFonts w:ascii="Times New Roman" w:hAnsi="Times New Roman" w:cs="Times New Roman"/>
          <w:sz w:val="24"/>
          <w:szCs w:val="24"/>
        </w:rPr>
        <w:t xml:space="preserve"> fabriquée</w:t>
      </w:r>
      <w:r w:rsidR="0044402D" w:rsidRPr="00C20656">
        <w:rPr>
          <w:rFonts w:ascii="Times New Roman" w:hAnsi="Times New Roman" w:cs="Times New Roman"/>
          <w:sz w:val="24"/>
          <w:szCs w:val="24"/>
        </w:rPr>
        <w:t xml:space="preserve"> </w:t>
      </w:r>
      <w:r w:rsidR="005435E1" w:rsidRPr="00C20656">
        <w:rPr>
          <w:rFonts w:ascii="Times New Roman" w:hAnsi="Times New Roman" w:cs="Times New Roman"/>
          <w:sz w:val="24"/>
          <w:szCs w:val="24"/>
        </w:rPr>
        <w:t xml:space="preserve"> entre les notions de domaine et de patrimoine. </w:t>
      </w:r>
    </w:p>
    <w:p w:rsidR="005435E1" w:rsidRPr="00C20656" w:rsidRDefault="00CC0198"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Le rapprochement sé</w:t>
      </w:r>
      <w:r w:rsidR="00290206" w:rsidRPr="00C20656">
        <w:rPr>
          <w:rFonts w:ascii="Times New Roman" w:hAnsi="Times New Roman" w:cs="Times New Roman"/>
          <w:sz w:val="24"/>
          <w:szCs w:val="24"/>
        </w:rPr>
        <w:t xml:space="preserve">mantique des notions de patrimoine et de domaine </w:t>
      </w:r>
      <w:r w:rsidRPr="00C20656">
        <w:rPr>
          <w:rFonts w:ascii="Times New Roman" w:hAnsi="Times New Roman" w:cs="Times New Roman"/>
          <w:sz w:val="24"/>
          <w:szCs w:val="24"/>
        </w:rPr>
        <w:t>est encore plus perceptible da</w:t>
      </w:r>
      <w:r w:rsidR="00F44BF7" w:rsidRPr="00C20656">
        <w:rPr>
          <w:rFonts w:ascii="Times New Roman" w:hAnsi="Times New Roman" w:cs="Times New Roman"/>
          <w:sz w:val="24"/>
          <w:szCs w:val="24"/>
        </w:rPr>
        <w:t>ns la loi foncière camerounaise</w:t>
      </w:r>
      <w:r w:rsidR="000A09E9" w:rsidRPr="00C20656">
        <w:rPr>
          <w:rFonts w:ascii="Times New Roman" w:hAnsi="Times New Roman" w:cs="Times New Roman"/>
          <w:sz w:val="24"/>
          <w:szCs w:val="24"/>
        </w:rPr>
        <w:t xml:space="preserve"> à travers</w:t>
      </w:r>
      <w:r w:rsidR="00BE41BB" w:rsidRPr="00C20656">
        <w:rPr>
          <w:rFonts w:ascii="Times New Roman" w:hAnsi="Times New Roman" w:cs="Times New Roman"/>
          <w:sz w:val="24"/>
          <w:szCs w:val="24"/>
        </w:rPr>
        <w:t xml:space="preserve"> l’article </w:t>
      </w:r>
      <w:r w:rsidRPr="00C20656">
        <w:rPr>
          <w:rFonts w:ascii="Times New Roman" w:hAnsi="Times New Roman" w:cs="Times New Roman"/>
          <w:sz w:val="24"/>
          <w:szCs w:val="24"/>
        </w:rPr>
        <w:t xml:space="preserve">26 du </w:t>
      </w:r>
      <w:r w:rsidR="00C2604E" w:rsidRPr="00C20656">
        <w:rPr>
          <w:rFonts w:ascii="Times New Roman" w:hAnsi="Times New Roman" w:cs="Times New Roman"/>
          <w:sz w:val="24"/>
          <w:szCs w:val="24"/>
        </w:rPr>
        <w:t xml:space="preserve">décret-loi n°63-2 du 9 janvier </w:t>
      </w:r>
      <w:r w:rsidRPr="00C20656">
        <w:rPr>
          <w:rFonts w:ascii="Times New Roman" w:hAnsi="Times New Roman" w:cs="Times New Roman"/>
          <w:sz w:val="24"/>
          <w:szCs w:val="24"/>
        </w:rPr>
        <w:t xml:space="preserve">1963 fixant le régime foncier et domanial du Cameroun oriental et   l’article 16 de l’ordonnance n° 74-1 du 6 juillet 1974 fixant régime foncier </w:t>
      </w:r>
    </w:p>
    <w:p w:rsidR="00F66A7E" w:rsidRPr="00C20656" w:rsidRDefault="002E2520" w:rsidP="00C20656">
      <w:pPr>
        <w:autoSpaceDE w:val="0"/>
        <w:autoSpaceDN w:val="0"/>
        <w:adjustRightInd w:val="0"/>
        <w:spacing w:after="0" w:line="240" w:lineRule="auto"/>
        <w:jc w:val="both"/>
        <w:rPr>
          <w:rFonts w:ascii="Times New Roman" w:hAnsi="Times New Roman" w:cs="Times New Roman"/>
          <w:i/>
          <w:sz w:val="24"/>
          <w:szCs w:val="24"/>
        </w:rPr>
      </w:pPr>
      <w:r w:rsidRPr="00C20656">
        <w:rPr>
          <w:rFonts w:ascii="Times New Roman" w:hAnsi="Times New Roman" w:cs="Times New Roman"/>
          <w:sz w:val="24"/>
          <w:szCs w:val="24"/>
        </w:rPr>
        <w:t>.</w:t>
      </w:r>
      <w:r w:rsidR="00E1589A" w:rsidRPr="00C20656">
        <w:rPr>
          <w:rFonts w:ascii="Times New Roman" w:hAnsi="Times New Roman" w:cs="Times New Roman"/>
          <w:sz w:val="24"/>
          <w:szCs w:val="24"/>
        </w:rPr>
        <w:t xml:space="preserve">  </w:t>
      </w:r>
      <w:r w:rsidR="00286C7F" w:rsidRPr="00C20656">
        <w:rPr>
          <w:rFonts w:ascii="Times New Roman" w:hAnsi="Times New Roman" w:cs="Times New Roman"/>
          <w:sz w:val="24"/>
          <w:szCs w:val="24"/>
        </w:rPr>
        <w:t xml:space="preserve"> </w:t>
      </w:r>
      <w:r w:rsidR="00F44BF7" w:rsidRPr="00C20656">
        <w:rPr>
          <w:rFonts w:ascii="Times New Roman" w:hAnsi="Times New Roman" w:cs="Times New Roman"/>
          <w:sz w:val="24"/>
          <w:szCs w:val="24"/>
        </w:rPr>
        <w:t xml:space="preserve">L’article </w:t>
      </w:r>
      <w:r w:rsidR="004544C0" w:rsidRPr="00C20656">
        <w:rPr>
          <w:rFonts w:ascii="Times New Roman" w:hAnsi="Times New Roman" w:cs="Times New Roman"/>
          <w:sz w:val="24"/>
          <w:szCs w:val="24"/>
        </w:rPr>
        <w:t>26</w:t>
      </w:r>
      <w:r w:rsidR="00E14F69" w:rsidRPr="00C20656">
        <w:rPr>
          <w:rFonts w:ascii="Times New Roman" w:hAnsi="Times New Roman" w:cs="Times New Roman"/>
          <w:sz w:val="24"/>
          <w:szCs w:val="24"/>
        </w:rPr>
        <w:t xml:space="preserve"> du décret-loi </w:t>
      </w:r>
      <w:r w:rsidR="004544C0" w:rsidRPr="00C20656">
        <w:rPr>
          <w:rFonts w:ascii="Times New Roman" w:hAnsi="Times New Roman" w:cs="Times New Roman"/>
          <w:sz w:val="24"/>
          <w:szCs w:val="24"/>
        </w:rPr>
        <w:t xml:space="preserve"> </w:t>
      </w:r>
      <w:r w:rsidR="00CA4225" w:rsidRPr="00C20656">
        <w:rPr>
          <w:rFonts w:ascii="Times New Roman" w:hAnsi="Times New Roman" w:cs="Times New Roman"/>
          <w:sz w:val="24"/>
          <w:szCs w:val="24"/>
        </w:rPr>
        <w:t xml:space="preserve"> y </w:t>
      </w:r>
      <w:r w:rsidR="004544C0" w:rsidRPr="00C20656">
        <w:rPr>
          <w:rFonts w:ascii="Times New Roman" w:hAnsi="Times New Roman" w:cs="Times New Roman"/>
          <w:sz w:val="24"/>
          <w:szCs w:val="24"/>
        </w:rPr>
        <w:t>stipule</w:t>
      </w:r>
      <w:r w:rsidR="00E14F69" w:rsidRPr="00C20656">
        <w:rPr>
          <w:rFonts w:ascii="Times New Roman" w:hAnsi="Times New Roman" w:cs="Times New Roman"/>
          <w:sz w:val="24"/>
          <w:szCs w:val="24"/>
        </w:rPr>
        <w:t> :</w:t>
      </w:r>
      <w:r w:rsidR="00261D39" w:rsidRPr="00C20656">
        <w:rPr>
          <w:rFonts w:ascii="Times New Roman" w:hAnsi="Times New Roman" w:cs="Times New Roman"/>
          <w:i/>
          <w:sz w:val="24"/>
          <w:szCs w:val="24"/>
        </w:rPr>
        <w:t xml:space="preserve"> La gestion du patrimoine collectif national est </w:t>
      </w:r>
      <w:r w:rsidR="00C2604E" w:rsidRPr="00C20656">
        <w:rPr>
          <w:rFonts w:ascii="Times New Roman" w:hAnsi="Times New Roman" w:cs="Times New Roman"/>
          <w:i/>
          <w:sz w:val="24"/>
          <w:szCs w:val="24"/>
        </w:rPr>
        <w:t>assurée</w:t>
      </w:r>
      <w:r w:rsidR="00261D39" w:rsidRPr="00C20656">
        <w:rPr>
          <w:rFonts w:ascii="Times New Roman" w:hAnsi="Times New Roman" w:cs="Times New Roman"/>
          <w:i/>
          <w:sz w:val="24"/>
          <w:szCs w:val="24"/>
        </w:rPr>
        <w:t xml:space="preserve"> par l'Etat en fonction des objectifs nationaux de développement économique et </w:t>
      </w:r>
      <w:r w:rsidR="00C2604E" w:rsidRPr="00C20656">
        <w:rPr>
          <w:rFonts w:ascii="Times New Roman" w:hAnsi="Times New Roman" w:cs="Times New Roman"/>
          <w:i/>
          <w:sz w:val="24"/>
          <w:szCs w:val="24"/>
        </w:rPr>
        <w:t>social.</w:t>
      </w:r>
    </w:p>
    <w:p w:rsidR="00E14F69" w:rsidRPr="00C20656" w:rsidRDefault="00E14F69" w:rsidP="00C20656">
      <w:pPr>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L’article 16 de l’ordonnance </w:t>
      </w:r>
      <w:r w:rsidR="00466DB1" w:rsidRPr="00C20656">
        <w:rPr>
          <w:rFonts w:ascii="Times New Roman" w:hAnsi="Times New Roman" w:cs="Times New Roman"/>
          <w:sz w:val="24"/>
          <w:szCs w:val="24"/>
        </w:rPr>
        <w:t xml:space="preserve">dans la même </w:t>
      </w:r>
      <w:r w:rsidR="00C2604E" w:rsidRPr="00C20656">
        <w:rPr>
          <w:rFonts w:ascii="Times New Roman" w:hAnsi="Times New Roman" w:cs="Times New Roman"/>
          <w:sz w:val="24"/>
          <w:szCs w:val="24"/>
        </w:rPr>
        <w:t>veine précise :</w:t>
      </w:r>
      <w:r w:rsidR="00C2604E" w:rsidRPr="00C20656">
        <w:rPr>
          <w:rFonts w:ascii="Times New Roman" w:hAnsi="Times New Roman" w:cs="Times New Roman"/>
          <w:i/>
          <w:sz w:val="24"/>
          <w:szCs w:val="24"/>
        </w:rPr>
        <w:t xml:space="preserve"> Le</w:t>
      </w:r>
      <w:r w:rsidR="00261D39" w:rsidRPr="00C20656">
        <w:rPr>
          <w:rFonts w:ascii="Times New Roman" w:hAnsi="Times New Roman" w:cs="Times New Roman"/>
          <w:i/>
          <w:sz w:val="24"/>
          <w:szCs w:val="24"/>
        </w:rPr>
        <w:t xml:space="preserve"> domaine national</w:t>
      </w:r>
      <w:r w:rsidR="00C2604E" w:rsidRPr="00C20656">
        <w:rPr>
          <w:rFonts w:ascii="Times New Roman" w:hAnsi="Times New Roman" w:cs="Times New Roman"/>
          <w:i/>
          <w:sz w:val="24"/>
          <w:szCs w:val="24"/>
        </w:rPr>
        <w:t xml:space="preserve"> est administré par l’État</w:t>
      </w:r>
      <w:r w:rsidR="00261D39" w:rsidRPr="00C20656">
        <w:rPr>
          <w:rFonts w:ascii="Times New Roman" w:hAnsi="Times New Roman" w:cs="Times New Roman"/>
          <w:i/>
          <w:sz w:val="24"/>
          <w:szCs w:val="24"/>
        </w:rPr>
        <w:t xml:space="preserve"> en vue d’en assurer  une  utilisation et une mise en valeur rationnelle</w:t>
      </w:r>
      <w:r w:rsidR="00261D39" w:rsidRPr="00C20656">
        <w:rPr>
          <w:rFonts w:ascii="Times New Roman" w:hAnsi="Times New Roman" w:cs="Times New Roman"/>
          <w:sz w:val="24"/>
          <w:szCs w:val="24"/>
        </w:rPr>
        <w:t xml:space="preserve">. Dans l’esprit et la lettre de ces deux articles l’idée de </w:t>
      </w:r>
      <w:r w:rsidR="00D809E9" w:rsidRPr="00C20656">
        <w:rPr>
          <w:rFonts w:ascii="Times New Roman" w:hAnsi="Times New Roman" w:cs="Times New Roman"/>
          <w:sz w:val="24"/>
          <w:szCs w:val="24"/>
        </w:rPr>
        <w:t>patrimoine collectif</w:t>
      </w:r>
      <w:r w:rsidR="00261D39" w:rsidRPr="00C20656">
        <w:rPr>
          <w:rFonts w:ascii="Times New Roman" w:hAnsi="Times New Roman" w:cs="Times New Roman"/>
          <w:sz w:val="24"/>
          <w:szCs w:val="24"/>
        </w:rPr>
        <w:t xml:space="preserve"> </w:t>
      </w:r>
      <w:r w:rsidR="00466DB1" w:rsidRPr="00C20656">
        <w:rPr>
          <w:rFonts w:ascii="Times New Roman" w:hAnsi="Times New Roman" w:cs="Times New Roman"/>
          <w:sz w:val="24"/>
          <w:szCs w:val="24"/>
        </w:rPr>
        <w:t xml:space="preserve">s’inscrit dans une continuité </w:t>
      </w:r>
      <w:r w:rsidR="00C2604E" w:rsidRPr="00C20656">
        <w:rPr>
          <w:rFonts w:ascii="Times New Roman" w:hAnsi="Times New Roman" w:cs="Times New Roman"/>
          <w:sz w:val="24"/>
          <w:szCs w:val="24"/>
        </w:rPr>
        <w:t>sémantique à</w:t>
      </w:r>
      <w:r w:rsidR="00466DB1" w:rsidRPr="00C20656">
        <w:rPr>
          <w:rFonts w:ascii="Times New Roman" w:hAnsi="Times New Roman" w:cs="Times New Roman"/>
          <w:sz w:val="24"/>
          <w:szCs w:val="24"/>
        </w:rPr>
        <w:t xml:space="preserve"> celle de domaine</w:t>
      </w:r>
      <w:r w:rsidR="00105EF7" w:rsidRPr="00C20656">
        <w:rPr>
          <w:rFonts w:ascii="Times New Roman" w:hAnsi="Times New Roman" w:cs="Times New Roman"/>
          <w:sz w:val="24"/>
          <w:szCs w:val="24"/>
        </w:rPr>
        <w:t xml:space="preserve">. Et il n’est pas superflu de revisiter les entrées des deux termes </w:t>
      </w:r>
      <w:r w:rsidR="002F1436" w:rsidRPr="00C20656">
        <w:rPr>
          <w:rFonts w:ascii="Times New Roman" w:hAnsi="Times New Roman" w:cs="Times New Roman"/>
          <w:sz w:val="24"/>
          <w:szCs w:val="24"/>
        </w:rPr>
        <w:t xml:space="preserve"> dans un  dictionnaire de langue</w:t>
      </w:r>
    </w:p>
    <w:p w:rsidR="00C241B0" w:rsidRPr="00C20656" w:rsidRDefault="00C241B0" w:rsidP="00C20656">
      <w:pPr>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w:t>
      </w:r>
      <w:r w:rsidR="00157BB7" w:rsidRPr="00C20656">
        <w:rPr>
          <w:rFonts w:ascii="Times New Roman" w:hAnsi="Times New Roman" w:cs="Times New Roman"/>
          <w:sz w:val="24"/>
          <w:szCs w:val="24"/>
        </w:rPr>
        <w:t>Bien plus</w:t>
      </w:r>
      <w:r w:rsidR="00813AF4" w:rsidRPr="00C20656">
        <w:rPr>
          <w:rFonts w:ascii="Times New Roman" w:hAnsi="Times New Roman" w:cs="Times New Roman"/>
          <w:sz w:val="24"/>
          <w:szCs w:val="24"/>
        </w:rPr>
        <w:t>,</w:t>
      </w:r>
      <w:r w:rsidR="00157BB7"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Le </w:t>
      </w:r>
      <w:r w:rsidRPr="00C20656">
        <w:rPr>
          <w:rFonts w:ascii="Times New Roman" w:hAnsi="Times New Roman" w:cs="Times New Roman"/>
          <w:i/>
          <w:sz w:val="24"/>
          <w:szCs w:val="24"/>
        </w:rPr>
        <w:t xml:space="preserve">Dictionnaire Le Grand Robert de la Langue </w:t>
      </w:r>
      <w:proofErr w:type="gramStart"/>
      <w:r w:rsidRPr="00C20656">
        <w:rPr>
          <w:rFonts w:ascii="Times New Roman" w:hAnsi="Times New Roman" w:cs="Times New Roman"/>
          <w:i/>
          <w:sz w:val="24"/>
          <w:szCs w:val="24"/>
        </w:rPr>
        <w:t>Française</w:t>
      </w:r>
      <w:r w:rsidRPr="00C20656">
        <w:rPr>
          <w:rFonts w:ascii="Times New Roman" w:hAnsi="Times New Roman" w:cs="Times New Roman"/>
          <w:sz w:val="24"/>
          <w:szCs w:val="24"/>
        </w:rPr>
        <w:t xml:space="preserve"> donne</w:t>
      </w:r>
      <w:proofErr w:type="gramEnd"/>
      <w:r w:rsidRPr="00C20656">
        <w:rPr>
          <w:rFonts w:ascii="Times New Roman" w:hAnsi="Times New Roman" w:cs="Times New Roman"/>
          <w:sz w:val="24"/>
          <w:szCs w:val="24"/>
        </w:rPr>
        <w:t xml:space="preserve"> cinq entrées du mot </w:t>
      </w:r>
      <w:r w:rsidRPr="00C20656">
        <w:rPr>
          <w:rFonts w:ascii="Times New Roman" w:hAnsi="Times New Roman" w:cs="Times New Roman"/>
          <w:i/>
          <w:sz w:val="24"/>
          <w:szCs w:val="24"/>
        </w:rPr>
        <w:t>patrimoine</w:t>
      </w:r>
      <w:r w:rsidRPr="00C20656">
        <w:rPr>
          <w:rFonts w:ascii="Times New Roman" w:hAnsi="Times New Roman" w:cs="Times New Roman"/>
          <w:sz w:val="24"/>
          <w:szCs w:val="24"/>
        </w:rPr>
        <w:t xml:space="preserve"> mais nous retenons les deux suivantes qui font sens par rapport à l’espace</w:t>
      </w:r>
    </w:p>
    <w:p w:rsidR="00C241B0" w:rsidRPr="00C20656" w:rsidRDefault="00C241B0" w:rsidP="00C20656">
      <w:pPr>
        <w:spacing w:after="0" w:line="240" w:lineRule="auto"/>
        <w:jc w:val="both"/>
        <w:rPr>
          <w:rStyle w:val="sdfn1"/>
          <w:rFonts w:ascii="Times New Roman" w:hAnsi="Times New Roman" w:cs="Times New Roman"/>
          <w:color w:val="auto"/>
          <w:sz w:val="24"/>
          <w:szCs w:val="24"/>
        </w:rPr>
      </w:pPr>
      <w:r w:rsidRPr="00C20656">
        <w:rPr>
          <w:rFonts w:ascii="Times New Roman" w:hAnsi="Times New Roman" w:cs="Times New Roman"/>
          <w:sz w:val="24"/>
          <w:szCs w:val="24"/>
        </w:rPr>
        <w:t xml:space="preserve">1°) </w:t>
      </w:r>
      <w:r w:rsidRPr="00C20656">
        <w:rPr>
          <w:rStyle w:val="sdfn1"/>
          <w:rFonts w:ascii="Times New Roman" w:hAnsi="Times New Roman" w:cs="Times New Roman"/>
          <w:color w:val="auto"/>
          <w:sz w:val="24"/>
          <w:szCs w:val="24"/>
        </w:rPr>
        <w:t>Biens de famille, biens que l'on a hérités de ses ascendants</w:t>
      </w:r>
    </w:p>
    <w:p w:rsidR="00C241B0" w:rsidRPr="00C20656" w:rsidRDefault="00C241B0" w:rsidP="00C20656">
      <w:pPr>
        <w:spacing w:after="0" w:line="240" w:lineRule="auto"/>
        <w:jc w:val="both"/>
        <w:rPr>
          <w:rStyle w:val="sdfn1"/>
          <w:rFonts w:ascii="Times New Roman" w:hAnsi="Times New Roman" w:cs="Times New Roman"/>
          <w:color w:val="auto"/>
          <w:sz w:val="24"/>
          <w:szCs w:val="24"/>
        </w:rPr>
      </w:pPr>
      <w:r w:rsidRPr="00C20656">
        <w:rPr>
          <w:rStyle w:val="sdfn1"/>
          <w:rFonts w:ascii="Times New Roman" w:hAnsi="Times New Roman" w:cs="Times New Roman"/>
          <w:color w:val="auto"/>
          <w:sz w:val="24"/>
          <w:szCs w:val="24"/>
        </w:rPr>
        <w:t>2°) Ce qui est considéré comme un bien propre </w:t>
      </w:r>
      <w:r w:rsidRPr="00C20656">
        <w:rPr>
          <w:rStyle w:val="srvd1"/>
          <w:rFonts w:ascii="Times New Roman" w:hAnsi="Times New Roman" w:cs="Times New Roman"/>
          <w:color w:val="auto"/>
          <w:sz w:val="24"/>
          <w:szCs w:val="24"/>
        </w:rPr>
        <w:t xml:space="preserve">; </w:t>
      </w:r>
      <w:r w:rsidRPr="00C20656">
        <w:rPr>
          <w:rStyle w:val="sdfn1"/>
          <w:rFonts w:ascii="Times New Roman" w:hAnsi="Times New Roman" w:cs="Times New Roman"/>
          <w:color w:val="auto"/>
          <w:sz w:val="24"/>
          <w:szCs w:val="24"/>
        </w:rPr>
        <w:t>comme une propriété transmise par les ancêtres</w:t>
      </w:r>
    </w:p>
    <w:p w:rsidR="00C241B0" w:rsidRPr="00C20656" w:rsidRDefault="00C241B0" w:rsidP="00C20656">
      <w:pPr>
        <w:autoSpaceDE w:val="0"/>
        <w:autoSpaceDN w:val="0"/>
        <w:adjustRightInd w:val="0"/>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Le même Dictionnaire </w:t>
      </w:r>
      <w:r w:rsidRPr="00C20656">
        <w:rPr>
          <w:rFonts w:ascii="Times New Roman" w:hAnsi="Times New Roman" w:cs="Times New Roman"/>
          <w:i/>
          <w:sz w:val="24"/>
          <w:szCs w:val="24"/>
        </w:rPr>
        <w:t xml:space="preserve"> </w:t>
      </w:r>
      <w:r w:rsidRPr="00C20656">
        <w:rPr>
          <w:rFonts w:ascii="Times New Roman" w:hAnsi="Times New Roman" w:cs="Times New Roman"/>
          <w:sz w:val="24"/>
          <w:szCs w:val="24"/>
        </w:rPr>
        <w:t xml:space="preserve">donne sur le mot </w:t>
      </w:r>
      <w:r w:rsidRPr="00C20656">
        <w:rPr>
          <w:rFonts w:ascii="Times New Roman" w:hAnsi="Times New Roman" w:cs="Times New Roman"/>
          <w:i/>
          <w:sz w:val="24"/>
          <w:szCs w:val="24"/>
        </w:rPr>
        <w:t>Domaine</w:t>
      </w:r>
      <w:r w:rsidRPr="00C20656">
        <w:rPr>
          <w:rFonts w:ascii="Times New Roman" w:hAnsi="Times New Roman" w:cs="Times New Roman"/>
          <w:sz w:val="24"/>
          <w:szCs w:val="24"/>
        </w:rPr>
        <w:t xml:space="preserve"> trois entrées   tirées de la </w:t>
      </w:r>
      <w:proofErr w:type="gramStart"/>
      <w:r w:rsidRPr="00C20656">
        <w:rPr>
          <w:rFonts w:ascii="Times New Roman" w:hAnsi="Times New Roman" w:cs="Times New Roman"/>
          <w:sz w:val="24"/>
          <w:szCs w:val="24"/>
        </w:rPr>
        <w:t>Cour ,</w:t>
      </w:r>
      <w:proofErr w:type="gramEnd"/>
      <w:r w:rsidRPr="00C20656">
        <w:rPr>
          <w:rFonts w:ascii="Times New Roman" w:hAnsi="Times New Roman" w:cs="Times New Roman"/>
          <w:sz w:val="24"/>
          <w:szCs w:val="24"/>
        </w:rPr>
        <w:t xml:space="preserve"> de l’histoire e</w:t>
      </w:r>
      <w:r w:rsidR="00813AF4" w:rsidRPr="00C20656">
        <w:rPr>
          <w:rFonts w:ascii="Times New Roman" w:hAnsi="Times New Roman" w:cs="Times New Roman"/>
          <w:sz w:val="24"/>
          <w:szCs w:val="24"/>
        </w:rPr>
        <w:t xml:space="preserve">t du droit administratif. Nous </w:t>
      </w:r>
      <w:r w:rsidRPr="00C20656">
        <w:rPr>
          <w:rFonts w:ascii="Times New Roman" w:hAnsi="Times New Roman" w:cs="Times New Roman"/>
          <w:sz w:val="24"/>
          <w:szCs w:val="24"/>
        </w:rPr>
        <w:t xml:space="preserve">nous focalisons sur les définitions s’appuyant sur la Cour </w:t>
      </w:r>
      <w:r w:rsidR="00CE4002" w:rsidRPr="00C20656">
        <w:rPr>
          <w:rFonts w:ascii="Times New Roman" w:hAnsi="Times New Roman" w:cs="Times New Roman"/>
          <w:sz w:val="24"/>
          <w:szCs w:val="24"/>
        </w:rPr>
        <w:t xml:space="preserve">l’histoire </w:t>
      </w:r>
      <w:r w:rsidRPr="00C20656">
        <w:rPr>
          <w:rFonts w:ascii="Times New Roman" w:hAnsi="Times New Roman" w:cs="Times New Roman"/>
          <w:sz w:val="24"/>
          <w:szCs w:val="24"/>
        </w:rPr>
        <w:t>et le Droit administratif.</w:t>
      </w:r>
    </w:p>
    <w:p w:rsidR="00C241B0" w:rsidRPr="00C20656" w:rsidRDefault="00C241B0" w:rsidP="00C20656">
      <w:pPr>
        <w:autoSpaceDE w:val="0"/>
        <w:autoSpaceDN w:val="0"/>
        <w:adjustRightInd w:val="0"/>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Pour la </w:t>
      </w:r>
      <w:r w:rsidR="00813AF4" w:rsidRPr="00C20656">
        <w:rPr>
          <w:rFonts w:ascii="Times New Roman" w:hAnsi="Times New Roman" w:cs="Times New Roman"/>
          <w:sz w:val="24"/>
          <w:szCs w:val="24"/>
        </w:rPr>
        <w:t>première, le</w:t>
      </w:r>
      <w:r w:rsidRPr="00C20656">
        <w:rPr>
          <w:rFonts w:ascii="Times New Roman" w:hAnsi="Times New Roman" w:cs="Times New Roman"/>
          <w:sz w:val="24"/>
          <w:szCs w:val="24"/>
        </w:rPr>
        <w:t xml:space="preserve"> domaine désigne  une  </w:t>
      </w:r>
      <w:r w:rsidRPr="00C20656">
        <w:rPr>
          <w:rStyle w:val="sdfn"/>
          <w:rFonts w:ascii="Times New Roman" w:hAnsi="Times New Roman" w:cs="Times New Roman"/>
          <w:i/>
          <w:sz w:val="24"/>
          <w:szCs w:val="24"/>
        </w:rPr>
        <w:t>Terre possédée par un propriétaire</w:t>
      </w:r>
      <w:r w:rsidRPr="00C20656">
        <w:rPr>
          <w:rStyle w:val="clickable"/>
          <w:rFonts w:ascii="Times New Roman" w:hAnsi="Times New Roman" w:cs="Times New Roman"/>
          <w:sz w:val="24"/>
          <w:szCs w:val="24"/>
        </w:rPr>
        <w:t xml:space="preserve"> un </w:t>
      </w:r>
      <w:r w:rsidRPr="00C20656">
        <w:rPr>
          <w:rStyle w:val="clickable"/>
          <w:rFonts w:ascii="Times New Roman" w:hAnsi="Times New Roman" w:cs="Times New Roman"/>
          <w:i/>
          <w:sz w:val="24"/>
          <w:szCs w:val="24"/>
        </w:rPr>
        <w:t>Bien (foncier)</w:t>
      </w:r>
      <w:r w:rsidRPr="00C20656">
        <w:rPr>
          <w:rStyle w:val="clickable"/>
          <w:rFonts w:ascii="Times New Roman" w:hAnsi="Times New Roman" w:cs="Times New Roman"/>
          <w:sz w:val="24"/>
          <w:szCs w:val="24"/>
        </w:rPr>
        <w:t xml:space="preserve">, une </w:t>
      </w:r>
      <w:r w:rsidRPr="00C20656">
        <w:rPr>
          <w:rStyle w:val="srvd"/>
          <w:rFonts w:ascii="Times New Roman" w:hAnsi="Times New Roman" w:cs="Times New Roman"/>
          <w:sz w:val="24"/>
          <w:szCs w:val="24"/>
        </w:rPr>
        <w:t xml:space="preserve"> </w:t>
      </w:r>
      <w:r w:rsidRPr="00C20656">
        <w:rPr>
          <w:rStyle w:val="clickable"/>
          <w:rFonts w:ascii="Times New Roman" w:hAnsi="Times New Roman" w:cs="Times New Roman"/>
          <w:i/>
          <w:sz w:val="24"/>
          <w:szCs w:val="24"/>
        </w:rPr>
        <w:t>propriété,</w:t>
      </w:r>
      <w:r w:rsidRPr="00C20656">
        <w:rPr>
          <w:rStyle w:val="srvd"/>
          <w:rFonts w:ascii="Times New Roman" w:hAnsi="Times New Roman" w:cs="Times New Roman"/>
          <w:i/>
          <w:sz w:val="24"/>
          <w:szCs w:val="24"/>
        </w:rPr>
        <w:t xml:space="preserve"> </w:t>
      </w:r>
      <w:r w:rsidRPr="00C20656">
        <w:rPr>
          <w:rStyle w:val="clickable"/>
          <w:rFonts w:ascii="Times New Roman" w:hAnsi="Times New Roman" w:cs="Times New Roman"/>
          <w:i/>
          <w:sz w:val="24"/>
          <w:szCs w:val="24"/>
        </w:rPr>
        <w:t>terre</w:t>
      </w:r>
      <w:r w:rsidRPr="00C20656">
        <w:rPr>
          <w:rFonts w:ascii="Times New Roman" w:hAnsi="Times New Roman" w:cs="Times New Roman"/>
          <w:i/>
          <w:sz w:val="24"/>
          <w:szCs w:val="24"/>
        </w:rPr>
        <w:t xml:space="preserve"> </w:t>
      </w:r>
      <w:r w:rsidR="00466DB1" w:rsidRPr="00C20656">
        <w:rPr>
          <w:rFonts w:ascii="Times New Roman" w:hAnsi="Times New Roman" w:cs="Times New Roman"/>
          <w:sz w:val="24"/>
          <w:szCs w:val="24"/>
        </w:rPr>
        <w:t>.À</w:t>
      </w:r>
      <w:r w:rsidRPr="00C20656">
        <w:rPr>
          <w:rFonts w:ascii="Times New Roman" w:hAnsi="Times New Roman" w:cs="Times New Roman"/>
          <w:sz w:val="24"/>
          <w:szCs w:val="24"/>
        </w:rPr>
        <w:t xml:space="preserve"> titre illustratif le  domaine familial renvoie </w:t>
      </w:r>
      <w:r w:rsidR="004E185D" w:rsidRPr="00C20656">
        <w:rPr>
          <w:rFonts w:ascii="Times New Roman" w:hAnsi="Times New Roman" w:cs="Times New Roman"/>
          <w:b/>
          <w:sz w:val="24"/>
          <w:szCs w:val="24"/>
        </w:rPr>
        <w:t xml:space="preserve"> </w:t>
      </w:r>
      <w:r w:rsidR="0025696C" w:rsidRPr="00C20656">
        <w:rPr>
          <w:rFonts w:ascii="Times New Roman" w:hAnsi="Times New Roman" w:cs="Times New Roman"/>
          <w:sz w:val="24"/>
          <w:szCs w:val="24"/>
        </w:rPr>
        <w:t>au patrimoine et à l’héritage.</w:t>
      </w:r>
      <w:r w:rsidRPr="00C20656">
        <w:rPr>
          <w:rFonts w:ascii="Times New Roman" w:hAnsi="Times New Roman" w:cs="Times New Roman"/>
          <w:sz w:val="24"/>
          <w:szCs w:val="24"/>
        </w:rPr>
        <w:t xml:space="preserve">  La seconde définition qui relève du droit administratif </w:t>
      </w:r>
      <w:r w:rsidRPr="00C20656">
        <w:rPr>
          <w:rFonts w:ascii="Times New Roman" w:hAnsi="Times New Roman" w:cs="Times New Roman"/>
          <w:i/>
          <w:sz w:val="24"/>
          <w:szCs w:val="24"/>
        </w:rPr>
        <w:t xml:space="preserve"> </w:t>
      </w:r>
      <w:r w:rsidRPr="00C20656">
        <w:rPr>
          <w:rFonts w:ascii="Times New Roman" w:hAnsi="Times New Roman" w:cs="Times New Roman"/>
          <w:sz w:val="24"/>
          <w:szCs w:val="24"/>
        </w:rPr>
        <w:t xml:space="preserve"> met l’emphase sur le </w:t>
      </w:r>
    </w:p>
    <w:p w:rsidR="00C241B0" w:rsidRPr="00C20656" w:rsidRDefault="00C241B0" w:rsidP="00C20656">
      <w:pPr>
        <w:autoSpaceDE w:val="0"/>
        <w:autoSpaceDN w:val="0"/>
        <w:adjustRightInd w:val="0"/>
        <w:spacing w:after="0" w:line="240" w:lineRule="auto"/>
        <w:jc w:val="both"/>
        <w:rPr>
          <w:rFonts w:ascii="Times New Roman" w:hAnsi="Times New Roman" w:cs="Times New Roman"/>
          <w:sz w:val="24"/>
          <w:szCs w:val="24"/>
        </w:rPr>
      </w:pPr>
      <w:r w:rsidRPr="00C20656">
        <w:rPr>
          <w:rStyle w:val="sxpl"/>
          <w:rFonts w:ascii="Times New Roman" w:hAnsi="Times New Roman" w:cs="Times New Roman"/>
          <w:sz w:val="24"/>
          <w:szCs w:val="24"/>
        </w:rPr>
        <w:t xml:space="preserve">Domaine de l'État c’est à dire   </w:t>
      </w:r>
      <w:r w:rsidRPr="00C20656">
        <w:rPr>
          <w:rStyle w:val="sgls"/>
          <w:rFonts w:ascii="Times New Roman" w:hAnsi="Times New Roman" w:cs="Times New Roman"/>
          <w:i/>
          <w:sz w:val="24"/>
          <w:szCs w:val="24"/>
        </w:rPr>
        <w:t>les biens de l'État divisés en domaine public et domaine privé.</w:t>
      </w:r>
      <w:r w:rsidRPr="00C20656">
        <w:rPr>
          <w:rFonts w:ascii="Times New Roman" w:hAnsi="Times New Roman" w:cs="Times New Roman"/>
          <w:i/>
          <w:sz w:val="24"/>
          <w:szCs w:val="24"/>
        </w:rPr>
        <w:t xml:space="preserve"> </w:t>
      </w:r>
    </w:p>
    <w:p w:rsidR="00C241B0" w:rsidRPr="00C20656" w:rsidRDefault="00F943D3" w:rsidP="00C20656">
      <w:pPr>
        <w:autoSpaceDE w:val="0"/>
        <w:autoSpaceDN w:val="0"/>
        <w:adjustRightInd w:val="0"/>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Alors q</w:t>
      </w:r>
      <w:r w:rsidR="00C241B0" w:rsidRPr="00C20656">
        <w:rPr>
          <w:rFonts w:ascii="Times New Roman" w:hAnsi="Times New Roman" w:cs="Times New Roman"/>
          <w:sz w:val="24"/>
          <w:szCs w:val="24"/>
        </w:rPr>
        <w:t xml:space="preserve">u’il appartient à la famille, à la </w:t>
      </w:r>
      <w:r w:rsidR="00813AF4" w:rsidRPr="00C20656">
        <w:rPr>
          <w:rFonts w:ascii="Times New Roman" w:hAnsi="Times New Roman" w:cs="Times New Roman"/>
          <w:sz w:val="24"/>
          <w:szCs w:val="24"/>
        </w:rPr>
        <w:t>communauté ou</w:t>
      </w:r>
      <w:r w:rsidR="00C241B0" w:rsidRPr="00C20656">
        <w:rPr>
          <w:rFonts w:ascii="Times New Roman" w:hAnsi="Times New Roman" w:cs="Times New Roman"/>
          <w:sz w:val="24"/>
          <w:szCs w:val="24"/>
        </w:rPr>
        <w:t xml:space="preserve"> à l’Etat le domaine subsume par </w:t>
      </w:r>
      <w:r w:rsidR="00813AF4" w:rsidRPr="00C20656">
        <w:rPr>
          <w:rFonts w:ascii="Times New Roman" w:hAnsi="Times New Roman" w:cs="Times New Roman"/>
          <w:sz w:val="24"/>
          <w:szCs w:val="24"/>
        </w:rPr>
        <w:t>conséquent la</w:t>
      </w:r>
      <w:r w:rsidR="00C241B0" w:rsidRPr="00C20656">
        <w:rPr>
          <w:rFonts w:ascii="Times New Roman" w:hAnsi="Times New Roman" w:cs="Times New Roman"/>
          <w:sz w:val="24"/>
          <w:szCs w:val="24"/>
        </w:rPr>
        <w:t xml:space="preserve"> notion </w:t>
      </w:r>
      <w:r w:rsidR="00813AF4" w:rsidRPr="00C20656">
        <w:rPr>
          <w:rFonts w:ascii="Times New Roman" w:hAnsi="Times New Roman" w:cs="Times New Roman"/>
          <w:sz w:val="24"/>
          <w:szCs w:val="24"/>
        </w:rPr>
        <w:t>de patrimoine</w:t>
      </w:r>
      <w:r w:rsidR="00C241B0" w:rsidRPr="00C20656">
        <w:rPr>
          <w:rFonts w:ascii="Times New Roman" w:hAnsi="Times New Roman" w:cs="Times New Roman"/>
          <w:sz w:val="24"/>
          <w:szCs w:val="24"/>
        </w:rPr>
        <w:t xml:space="preserve">. Christian </w:t>
      </w:r>
      <w:proofErr w:type="spellStart"/>
      <w:r w:rsidR="00C241B0" w:rsidRPr="00C20656">
        <w:rPr>
          <w:rFonts w:ascii="Times New Roman" w:hAnsi="Times New Roman" w:cs="Times New Roman"/>
          <w:sz w:val="24"/>
          <w:szCs w:val="24"/>
        </w:rPr>
        <w:t>Lavia</w:t>
      </w:r>
      <w:r w:rsidR="00D04DFA" w:rsidRPr="00C20656">
        <w:rPr>
          <w:rFonts w:ascii="Times New Roman" w:hAnsi="Times New Roman" w:cs="Times New Roman"/>
          <w:sz w:val="24"/>
          <w:szCs w:val="24"/>
        </w:rPr>
        <w:t>i</w:t>
      </w:r>
      <w:r w:rsidR="00C241B0" w:rsidRPr="00C20656">
        <w:rPr>
          <w:rFonts w:ascii="Times New Roman" w:hAnsi="Times New Roman" w:cs="Times New Roman"/>
          <w:sz w:val="24"/>
          <w:szCs w:val="24"/>
        </w:rPr>
        <w:t>lle</w:t>
      </w:r>
      <w:proofErr w:type="spellEnd"/>
      <w:r w:rsidR="00C241B0" w:rsidRPr="00C20656">
        <w:rPr>
          <w:rFonts w:ascii="Times New Roman" w:hAnsi="Times New Roman" w:cs="Times New Roman"/>
          <w:sz w:val="24"/>
          <w:szCs w:val="24"/>
        </w:rPr>
        <w:t xml:space="preserve">   reconnait que «  Le domaine est en réalité un patrimoine comprenant des fonds divers »</w:t>
      </w:r>
      <w:r w:rsidR="00C241B0" w:rsidRPr="00C20656">
        <w:rPr>
          <w:rStyle w:val="Appelnotedebasdep"/>
          <w:rFonts w:ascii="Times New Roman" w:hAnsi="Times New Roman" w:cs="Times New Roman"/>
          <w:sz w:val="24"/>
          <w:szCs w:val="24"/>
        </w:rPr>
        <w:footnoteReference w:id="2"/>
      </w:r>
      <w:r w:rsidR="00813AF4" w:rsidRPr="00C20656">
        <w:rPr>
          <w:rFonts w:ascii="Times New Roman" w:hAnsi="Times New Roman" w:cs="Times New Roman"/>
          <w:sz w:val="24"/>
          <w:szCs w:val="24"/>
        </w:rPr>
        <w:t xml:space="preserve">. Il est donc tout naturel </w:t>
      </w:r>
      <w:r w:rsidR="00C241B0" w:rsidRPr="00C20656">
        <w:rPr>
          <w:rFonts w:ascii="Times New Roman" w:hAnsi="Times New Roman" w:cs="Times New Roman"/>
          <w:sz w:val="24"/>
          <w:szCs w:val="24"/>
        </w:rPr>
        <w:t>qu’un</w:t>
      </w:r>
      <w:r w:rsidR="00813AF4" w:rsidRPr="00C20656">
        <w:rPr>
          <w:rFonts w:ascii="Times New Roman" w:hAnsi="Times New Roman" w:cs="Times New Roman"/>
          <w:sz w:val="24"/>
          <w:szCs w:val="24"/>
        </w:rPr>
        <w:t xml:space="preserve">e terre domanialisée </w:t>
      </w:r>
      <w:r w:rsidR="001B301E" w:rsidRPr="00C20656">
        <w:rPr>
          <w:rFonts w:ascii="Times New Roman" w:hAnsi="Times New Roman" w:cs="Times New Roman"/>
          <w:sz w:val="24"/>
          <w:szCs w:val="24"/>
        </w:rPr>
        <w:t xml:space="preserve">soit aussi </w:t>
      </w:r>
      <w:proofErr w:type="spellStart"/>
      <w:r w:rsidR="00C241B0" w:rsidRPr="00C20656">
        <w:rPr>
          <w:rFonts w:ascii="Times New Roman" w:hAnsi="Times New Roman" w:cs="Times New Roman"/>
          <w:sz w:val="24"/>
          <w:szCs w:val="24"/>
        </w:rPr>
        <w:t>pa</w:t>
      </w:r>
      <w:r w:rsidR="001B301E" w:rsidRPr="00C20656">
        <w:rPr>
          <w:rFonts w:ascii="Times New Roman" w:hAnsi="Times New Roman" w:cs="Times New Roman"/>
          <w:sz w:val="24"/>
          <w:szCs w:val="24"/>
        </w:rPr>
        <w:t>trimonialisée</w:t>
      </w:r>
      <w:proofErr w:type="spellEnd"/>
      <w:r w:rsidR="001B301E" w:rsidRPr="00C20656">
        <w:rPr>
          <w:rFonts w:ascii="Times New Roman" w:hAnsi="Times New Roman" w:cs="Times New Roman"/>
          <w:sz w:val="24"/>
          <w:szCs w:val="24"/>
        </w:rPr>
        <w:t>.</w:t>
      </w:r>
      <w:r w:rsidR="005C3EEE" w:rsidRPr="00C20656">
        <w:rPr>
          <w:rFonts w:ascii="Times New Roman" w:hAnsi="Times New Roman" w:cs="Times New Roman"/>
          <w:sz w:val="24"/>
          <w:szCs w:val="24"/>
        </w:rPr>
        <w:t xml:space="preserve"> </w:t>
      </w:r>
      <w:proofErr w:type="gramStart"/>
      <w:r w:rsidR="00813AF4" w:rsidRPr="00C20656">
        <w:rPr>
          <w:rFonts w:ascii="Times New Roman" w:hAnsi="Times New Roman" w:cs="Times New Roman"/>
          <w:sz w:val="24"/>
          <w:szCs w:val="24"/>
        </w:rPr>
        <w:t>Cette</w:t>
      </w:r>
      <w:proofErr w:type="gramEnd"/>
      <w:r w:rsidR="00813AF4" w:rsidRPr="00C20656">
        <w:rPr>
          <w:rFonts w:ascii="Times New Roman" w:hAnsi="Times New Roman" w:cs="Times New Roman"/>
          <w:sz w:val="24"/>
          <w:szCs w:val="24"/>
        </w:rPr>
        <w:t xml:space="preserve"> quasi</w:t>
      </w:r>
      <w:r w:rsidR="005C3EEE" w:rsidRPr="00C20656">
        <w:rPr>
          <w:rFonts w:ascii="Times New Roman" w:hAnsi="Times New Roman" w:cs="Times New Roman"/>
          <w:sz w:val="24"/>
          <w:szCs w:val="24"/>
        </w:rPr>
        <w:t xml:space="preserve"> </w:t>
      </w:r>
      <w:r w:rsidR="00813AF4" w:rsidRPr="00C20656">
        <w:rPr>
          <w:rFonts w:ascii="Times New Roman" w:hAnsi="Times New Roman" w:cs="Times New Roman"/>
          <w:sz w:val="24"/>
          <w:szCs w:val="24"/>
        </w:rPr>
        <w:t>homologie entre</w:t>
      </w:r>
      <w:r w:rsidR="0049501E" w:rsidRPr="00C20656">
        <w:rPr>
          <w:rFonts w:ascii="Times New Roman" w:hAnsi="Times New Roman" w:cs="Times New Roman"/>
          <w:sz w:val="24"/>
          <w:szCs w:val="24"/>
        </w:rPr>
        <w:t xml:space="preserve"> domaine et patrimoine é</w:t>
      </w:r>
      <w:r w:rsidR="005C3EEE" w:rsidRPr="00C20656">
        <w:rPr>
          <w:rFonts w:ascii="Times New Roman" w:hAnsi="Times New Roman" w:cs="Times New Roman"/>
          <w:sz w:val="24"/>
          <w:szCs w:val="24"/>
        </w:rPr>
        <w:t>tablit deux postulats :</w:t>
      </w:r>
      <w:r w:rsidR="00B92690" w:rsidRPr="00C20656">
        <w:rPr>
          <w:rFonts w:ascii="Times New Roman" w:hAnsi="Times New Roman" w:cs="Times New Roman"/>
          <w:sz w:val="24"/>
          <w:szCs w:val="24"/>
        </w:rPr>
        <w:t xml:space="preserve"> </w:t>
      </w:r>
      <w:r w:rsidR="00235072" w:rsidRPr="00C20656">
        <w:rPr>
          <w:rFonts w:ascii="Times New Roman" w:hAnsi="Times New Roman" w:cs="Times New Roman"/>
          <w:sz w:val="24"/>
          <w:szCs w:val="24"/>
        </w:rPr>
        <w:t xml:space="preserve"> </w:t>
      </w:r>
    </w:p>
    <w:p w:rsidR="005C6584" w:rsidRPr="00C20656" w:rsidRDefault="00E071EC" w:rsidP="00C20656">
      <w:pPr>
        <w:autoSpaceDE w:val="0"/>
        <w:autoSpaceDN w:val="0"/>
        <w:adjustRightInd w:val="0"/>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Premièrement, l’imbrication</w:t>
      </w:r>
      <w:r w:rsidR="00857DBD" w:rsidRPr="00C20656">
        <w:rPr>
          <w:rFonts w:ascii="Times New Roman" w:hAnsi="Times New Roman" w:cs="Times New Roman"/>
          <w:sz w:val="24"/>
          <w:szCs w:val="24"/>
        </w:rPr>
        <w:t xml:space="preserve"> </w:t>
      </w:r>
      <w:r w:rsidR="00BB3700" w:rsidRPr="00C20656">
        <w:rPr>
          <w:rFonts w:ascii="Times New Roman" w:hAnsi="Times New Roman" w:cs="Times New Roman"/>
          <w:sz w:val="24"/>
          <w:szCs w:val="24"/>
        </w:rPr>
        <w:t xml:space="preserve">entre le domaine et le patrimoine ne  saurait connaitre une dislocation  en raison de </w:t>
      </w:r>
      <w:r w:rsidR="00857DBD" w:rsidRPr="00C20656">
        <w:rPr>
          <w:rFonts w:ascii="Times New Roman" w:hAnsi="Times New Roman" w:cs="Times New Roman"/>
          <w:sz w:val="24"/>
          <w:szCs w:val="24"/>
        </w:rPr>
        <w:t xml:space="preserve"> la </w:t>
      </w:r>
      <w:r w:rsidR="00436BFF" w:rsidRPr="00C20656">
        <w:rPr>
          <w:rFonts w:ascii="Times New Roman" w:hAnsi="Times New Roman" w:cs="Times New Roman"/>
          <w:sz w:val="24"/>
          <w:szCs w:val="24"/>
        </w:rPr>
        <w:t>collatéralité</w:t>
      </w:r>
      <w:r w:rsidR="00857DBD" w:rsidRPr="00C20656">
        <w:rPr>
          <w:rFonts w:ascii="Times New Roman" w:hAnsi="Times New Roman" w:cs="Times New Roman"/>
          <w:sz w:val="24"/>
          <w:szCs w:val="24"/>
        </w:rPr>
        <w:t xml:space="preserve"> </w:t>
      </w:r>
      <w:r w:rsidR="00104B81" w:rsidRPr="00C20656">
        <w:rPr>
          <w:rFonts w:ascii="Times New Roman" w:hAnsi="Times New Roman" w:cs="Times New Roman"/>
          <w:sz w:val="24"/>
          <w:szCs w:val="24"/>
        </w:rPr>
        <w:t xml:space="preserve"> sémique </w:t>
      </w:r>
      <w:r w:rsidR="00857DBD" w:rsidRPr="00C20656">
        <w:rPr>
          <w:rFonts w:ascii="Times New Roman" w:hAnsi="Times New Roman" w:cs="Times New Roman"/>
          <w:sz w:val="24"/>
          <w:szCs w:val="24"/>
        </w:rPr>
        <w:t>qu’entre</w:t>
      </w:r>
      <w:r w:rsidR="00104B81" w:rsidRPr="00C20656">
        <w:rPr>
          <w:rFonts w:ascii="Times New Roman" w:hAnsi="Times New Roman" w:cs="Times New Roman"/>
          <w:sz w:val="24"/>
          <w:szCs w:val="24"/>
        </w:rPr>
        <w:t xml:space="preserve">tiennent les deux  notions </w:t>
      </w:r>
      <w:r w:rsidR="00902012" w:rsidRPr="00C20656">
        <w:rPr>
          <w:rFonts w:ascii="Times New Roman" w:hAnsi="Times New Roman" w:cs="Times New Roman"/>
          <w:sz w:val="24"/>
          <w:szCs w:val="24"/>
        </w:rPr>
        <w:t>depuis</w:t>
      </w:r>
      <w:r w:rsidR="00104B81" w:rsidRPr="00C20656">
        <w:rPr>
          <w:rFonts w:ascii="Times New Roman" w:hAnsi="Times New Roman" w:cs="Times New Roman"/>
          <w:sz w:val="24"/>
          <w:szCs w:val="24"/>
        </w:rPr>
        <w:t xml:space="preserve"> leur </w:t>
      </w:r>
      <w:proofErr w:type="gramStart"/>
      <w:r w:rsidR="00104B81" w:rsidRPr="00C20656">
        <w:rPr>
          <w:rFonts w:ascii="Times New Roman" w:hAnsi="Times New Roman" w:cs="Times New Roman"/>
          <w:sz w:val="24"/>
          <w:szCs w:val="24"/>
        </w:rPr>
        <w:t>étymologie .</w:t>
      </w:r>
      <w:proofErr w:type="gramEnd"/>
      <w:r w:rsidR="00104B81" w:rsidRPr="00C20656">
        <w:rPr>
          <w:rFonts w:ascii="Times New Roman" w:hAnsi="Times New Roman" w:cs="Times New Roman"/>
          <w:sz w:val="24"/>
          <w:szCs w:val="24"/>
        </w:rPr>
        <w:t xml:space="preserve"> Les mots latins </w:t>
      </w:r>
      <w:proofErr w:type="spellStart"/>
      <w:r w:rsidR="007A275A" w:rsidRPr="00C20656">
        <w:rPr>
          <w:rFonts w:ascii="Times New Roman" w:hAnsi="Times New Roman" w:cs="Times New Roman"/>
          <w:i/>
          <w:sz w:val="24"/>
          <w:szCs w:val="24"/>
        </w:rPr>
        <w:t>Domin</w:t>
      </w:r>
      <w:r w:rsidR="00104B81" w:rsidRPr="00C20656">
        <w:rPr>
          <w:rFonts w:ascii="Times New Roman" w:hAnsi="Times New Roman" w:cs="Times New Roman"/>
          <w:i/>
          <w:sz w:val="24"/>
          <w:szCs w:val="24"/>
        </w:rPr>
        <w:t>ium</w:t>
      </w:r>
      <w:proofErr w:type="spellEnd"/>
      <w:r w:rsidR="00104B81" w:rsidRPr="00C20656">
        <w:rPr>
          <w:rFonts w:ascii="Times New Roman" w:hAnsi="Times New Roman" w:cs="Times New Roman"/>
          <w:i/>
          <w:sz w:val="24"/>
          <w:szCs w:val="24"/>
        </w:rPr>
        <w:t> </w:t>
      </w:r>
      <w:r w:rsidR="00104B81" w:rsidRPr="00C20656">
        <w:rPr>
          <w:rFonts w:ascii="Times New Roman" w:hAnsi="Times New Roman" w:cs="Times New Roman"/>
          <w:sz w:val="24"/>
          <w:szCs w:val="24"/>
        </w:rPr>
        <w:t xml:space="preserve">: propriété et </w:t>
      </w:r>
      <w:proofErr w:type="spellStart"/>
      <w:r w:rsidR="00104B81" w:rsidRPr="00C20656">
        <w:rPr>
          <w:rFonts w:ascii="Times New Roman" w:hAnsi="Times New Roman" w:cs="Times New Roman"/>
          <w:i/>
          <w:sz w:val="24"/>
          <w:szCs w:val="24"/>
        </w:rPr>
        <w:t>Patrimonium</w:t>
      </w:r>
      <w:proofErr w:type="spellEnd"/>
      <w:r w:rsidR="00BA6C64" w:rsidRPr="00C20656">
        <w:rPr>
          <w:rStyle w:val="Appelnotedebasdep"/>
          <w:rFonts w:ascii="Times New Roman" w:hAnsi="Times New Roman" w:cs="Times New Roman"/>
          <w:i/>
          <w:sz w:val="24"/>
          <w:szCs w:val="24"/>
        </w:rPr>
        <w:footnoteReference w:id="3"/>
      </w:r>
      <w:r w:rsidR="00104B81" w:rsidRPr="00C20656">
        <w:rPr>
          <w:rFonts w:ascii="Times New Roman" w:hAnsi="Times New Roman" w:cs="Times New Roman"/>
          <w:sz w:val="24"/>
          <w:szCs w:val="24"/>
        </w:rPr>
        <w:t xml:space="preserve"> : Bien de famille </w:t>
      </w:r>
      <w:r w:rsidR="00BA6C64" w:rsidRPr="00C20656">
        <w:rPr>
          <w:rFonts w:ascii="Times New Roman" w:hAnsi="Times New Roman" w:cs="Times New Roman"/>
          <w:sz w:val="24"/>
          <w:szCs w:val="24"/>
        </w:rPr>
        <w:t xml:space="preserve"> </w:t>
      </w:r>
      <w:r w:rsidR="00A17ACF" w:rsidRPr="00C20656">
        <w:rPr>
          <w:rFonts w:ascii="Times New Roman" w:hAnsi="Times New Roman" w:cs="Times New Roman"/>
          <w:sz w:val="24"/>
          <w:szCs w:val="24"/>
        </w:rPr>
        <w:t>peuvent être envisagés dans une corrélation de sens.</w:t>
      </w:r>
    </w:p>
    <w:p w:rsidR="00AF089B" w:rsidRPr="00C20656" w:rsidRDefault="00DB6837" w:rsidP="00C20656">
      <w:pPr>
        <w:autoSpaceDE w:val="0"/>
        <w:autoSpaceDN w:val="0"/>
        <w:adjustRightInd w:val="0"/>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lastRenderedPageBreak/>
        <w:t>Deuxièmement</w:t>
      </w:r>
      <w:r w:rsidR="00E071EC" w:rsidRPr="00C20656">
        <w:rPr>
          <w:rFonts w:ascii="Times New Roman" w:hAnsi="Times New Roman" w:cs="Times New Roman"/>
          <w:sz w:val="24"/>
          <w:szCs w:val="24"/>
        </w:rPr>
        <w:t>,</w:t>
      </w:r>
      <w:r w:rsidRPr="00C20656">
        <w:rPr>
          <w:rFonts w:ascii="Times New Roman" w:hAnsi="Times New Roman" w:cs="Times New Roman"/>
          <w:sz w:val="24"/>
          <w:szCs w:val="24"/>
        </w:rPr>
        <w:t xml:space="preserve"> le basculement </w:t>
      </w:r>
      <w:r w:rsidR="00436BFF" w:rsidRPr="00C20656">
        <w:rPr>
          <w:rFonts w:ascii="Times New Roman" w:hAnsi="Times New Roman" w:cs="Times New Roman"/>
          <w:sz w:val="24"/>
          <w:szCs w:val="24"/>
        </w:rPr>
        <w:t>du domaine, du familial</w:t>
      </w:r>
      <w:r w:rsidR="0054665F" w:rsidRPr="00C20656">
        <w:rPr>
          <w:rFonts w:ascii="Times New Roman" w:hAnsi="Times New Roman" w:cs="Times New Roman"/>
          <w:sz w:val="24"/>
          <w:szCs w:val="24"/>
        </w:rPr>
        <w:t xml:space="preserve"> </w:t>
      </w:r>
      <w:r w:rsidR="00436BFF" w:rsidRPr="00C20656">
        <w:rPr>
          <w:rFonts w:ascii="Times New Roman" w:hAnsi="Times New Roman" w:cs="Times New Roman"/>
          <w:sz w:val="24"/>
          <w:szCs w:val="24"/>
        </w:rPr>
        <w:t>au national ou</w:t>
      </w:r>
      <w:r w:rsidR="0054665F" w:rsidRPr="00C20656">
        <w:rPr>
          <w:rFonts w:ascii="Times New Roman" w:hAnsi="Times New Roman" w:cs="Times New Roman"/>
          <w:sz w:val="24"/>
          <w:szCs w:val="24"/>
        </w:rPr>
        <w:t xml:space="preserve"> à l’étatique   et vice </w:t>
      </w:r>
      <w:r w:rsidR="00436BFF" w:rsidRPr="00C20656">
        <w:rPr>
          <w:rFonts w:ascii="Times New Roman" w:hAnsi="Times New Roman" w:cs="Times New Roman"/>
          <w:sz w:val="24"/>
          <w:szCs w:val="24"/>
        </w:rPr>
        <w:t>versa, ne</w:t>
      </w:r>
      <w:r w:rsidR="0054665F" w:rsidRPr="00C20656">
        <w:rPr>
          <w:rFonts w:ascii="Times New Roman" w:hAnsi="Times New Roman" w:cs="Times New Roman"/>
          <w:sz w:val="24"/>
          <w:szCs w:val="24"/>
        </w:rPr>
        <w:t xml:space="preserve"> devr</w:t>
      </w:r>
      <w:r w:rsidRPr="00C20656">
        <w:rPr>
          <w:rFonts w:ascii="Times New Roman" w:hAnsi="Times New Roman" w:cs="Times New Roman"/>
          <w:sz w:val="24"/>
          <w:szCs w:val="24"/>
        </w:rPr>
        <w:t xml:space="preserve">ait en principe </w:t>
      </w:r>
      <w:r w:rsidR="00436BFF" w:rsidRPr="00C20656">
        <w:rPr>
          <w:rFonts w:ascii="Times New Roman" w:hAnsi="Times New Roman" w:cs="Times New Roman"/>
          <w:sz w:val="24"/>
          <w:szCs w:val="24"/>
        </w:rPr>
        <w:t>pas ôter</w:t>
      </w:r>
      <w:r w:rsidR="0054665F" w:rsidRPr="00C20656">
        <w:rPr>
          <w:rFonts w:ascii="Times New Roman" w:hAnsi="Times New Roman" w:cs="Times New Roman"/>
          <w:sz w:val="24"/>
          <w:szCs w:val="24"/>
        </w:rPr>
        <w:t xml:space="preserve"> à la terre en question sa dimension patrimoniale. Car </w:t>
      </w:r>
      <w:proofErr w:type="spellStart"/>
      <w:r w:rsidR="0054665F" w:rsidRPr="00C20656">
        <w:rPr>
          <w:rFonts w:ascii="Times New Roman" w:hAnsi="Times New Roman" w:cs="Times New Roman"/>
          <w:sz w:val="24"/>
          <w:szCs w:val="24"/>
        </w:rPr>
        <w:t>quelq</w:t>
      </w:r>
      <w:proofErr w:type="spellEnd"/>
      <w:r w:rsidR="00EE3988" w:rsidRPr="00C20656">
        <w:rPr>
          <w:rFonts w:ascii="Times New Roman" w:hAnsi="Times New Roman" w:cs="Times New Roman"/>
          <w:sz w:val="24"/>
          <w:szCs w:val="24"/>
        </w:rPr>
        <w:t xml:space="preserve"> </w:t>
      </w:r>
      <w:proofErr w:type="spellStart"/>
      <w:r w:rsidR="0054665F" w:rsidRPr="00C20656">
        <w:rPr>
          <w:rFonts w:ascii="Times New Roman" w:hAnsi="Times New Roman" w:cs="Times New Roman"/>
          <w:sz w:val="24"/>
          <w:szCs w:val="24"/>
        </w:rPr>
        <w:t>ue</w:t>
      </w:r>
      <w:proofErr w:type="spellEnd"/>
      <w:r w:rsidR="0054665F" w:rsidRPr="00C20656">
        <w:rPr>
          <w:rFonts w:ascii="Times New Roman" w:hAnsi="Times New Roman" w:cs="Times New Roman"/>
          <w:sz w:val="24"/>
          <w:szCs w:val="24"/>
        </w:rPr>
        <w:t xml:space="preserve"> soit le type</w:t>
      </w:r>
      <w:r w:rsidR="00BB3700" w:rsidRPr="00C20656">
        <w:rPr>
          <w:rFonts w:ascii="Times New Roman" w:hAnsi="Times New Roman" w:cs="Times New Roman"/>
          <w:sz w:val="24"/>
          <w:szCs w:val="24"/>
        </w:rPr>
        <w:t xml:space="preserve"> de</w:t>
      </w:r>
      <w:r w:rsidR="00813AF4" w:rsidRPr="00C20656">
        <w:rPr>
          <w:rFonts w:ascii="Times New Roman" w:hAnsi="Times New Roman" w:cs="Times New Roman"/>
          <w:sz w:val="24"/>
          <w:szCs w:val="24"/>
        </w:rPr>
        <w:t xml:space="preserve"> </w:t>
      </w:r>
      <w:r w:rsidR="00436BFF" w:rsidRPr="00C20656">
        <w:rPr>
          <w:rFonts w:ascii="Times New Roman" w:hAnsi="Times New Roman" w:cs="Times New Roman"/>
          <w:sz w:val="24"/>
          <w:szCs w:val="24"/>
        </w:rPr>
        <w:t>domaine la</w:t>
      </w:r>
      <w:r w:rsidR="0054665F" w:rsidRPr="00C20656">
        <w:rPr>
          <w:rFonts w:ascii="Times New Roman" w:hAnsi="Times New Roman" w:cs="Times New Roman"/>
          <w:sz w:val="24"/>
          <w:szCs w:val="24"/>
        </w:rPr>
        <w:t xml:space="preserve"> </w:t>
      </w:r>
      <w:r w:rsidR="00436BFF" w:rsidRPr="00C20656">
        <w:rPr>
          <w:rFonts w:ascii="Times New Roman" w:hAnsi="Times New Roman" w:cs="Times New Roman"/>
          <w:sz w:val="24"/>
          <w:szCs w:val="24"/>
        </w:rPr>
        <w:t>patrimonialité demeure</w:t>
      </w:r>
      <w:r w:rsidR="0054665F" w:rsidRPr="00C20656">
        <w:rPr>
          <w:rFonts w:ascii="Times New Roman" w:hAnsi="Times New Roman" w:cs="Times New Roman"/>
          <w:sz w:val="24"/>
          <w:szCs w:val="24"/>
        </w:rPr>
        <w:t xml:space="preserve">. </w:t>
      </w:r>
    </w:p>
    <w:p w:rsidR="00E071EC" w:rsidRPr="00C20656" w:rsidRDefault="00A94646"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Mais  à l’observation</w:t>
      </w:r>
      <w:r w:rsidR="00813AF4" w:rsidRPr="00C20656">
        <w:rPr>
          <w:rFonts w:ascii="Times New Roman" w:hAnsi="Times New Roman" w:cs="Times New Roman"/>
          <w:sz w:val="24"/>
          <w:szCs w:val="24"/>
        </w:rPr>
        <w:t xml:space="preserve"> dans  toutes les capitales régionales du Cameroun </w:t>
      </w:r>
      <w:r w:rsidR="007123DE" w:rsidRPr="00C20656">
        <w:rPr>
          <w:rFonts w:ascii="Times New Roman" w:hAnsi="Times New Roman" w:cs="Times New Roman"/>
          <w:sz w:val="24"/>
          <w:szCs w:val="24"/>
        </w:rPr>
        <w:t xml:space="preserve">  </w:t>
      </w:r>
      <w:r w:rsidR="008F6FD6" w:rsidRPr="00C20656">
        <w:rPr>
          <w:rFonts w:ascii="Times New Roman" w:hAnsi="Times New Roman" w:cs="Times New Roman"/>
          <w:sz w:val="24"/>
          <w:szCs w:val="24"/>
        </w:rPr>
        <w:t>et dans leur périphérie</w:t>
      </w:r>
      <w:r w:rsidR="00E071EC" w:rsidRPr="00C20656">
        <w:rPr>
          <w:rFonts w:ascii="Times New Roman" w:hAnsi="Times New Roman" w:cs="Times New Roman"/>
          <w:sz w:val="24"/>
          <w:szCs w:val="24"/>
        </w:rPr>
        <w:t xml:space="preserve"> et de </w:t>
      </w:r>
      <w:proofErr w:type="spellStart"/>
      <w:r w:rsidR="00E071EC" w:rsidRPr="00C20656">
        <w:rPr>
          <w:rFonts w:ascii="Times New Roman" w:hAnsi="Times New Roman" w:cs="Times New Roman"/>
          <w:sz w:val="24"/>
          <w:szCs w:val="24"/>
        </w:rPr>
        <w:t>manère</w:t>
      </w:r>
      <w:proofErr w:type="spellEnd"/>
      <w:r w:rsidR="00E071EC" w:rsidRPr="00C20656">
        <w:rPr>
          <w:rFonts w:ascii="Times New Roman" w:hAnsi="Times New Roman" w:cs="Times New Roman"/>
          <w:sz w:val="24"/>
          <w:szCs w:val="24"/>
        </w:rPr>
        <w:t xml:space="preserve"> ostensible dans les villes de Douala et de </w:t>
      </w:r>
      <w:proofErr w:type="gramStart"/>
      <w:r w:rsidR="00E071EC" w:rsidRPr="00C20656">
        <w:rPr>
          <w:rFonts w:ascii="Times New Roman" w:hAnsi="Times New Roman" w:cs="Times New Roman"/>
          <w:sz w:val="24"/>
          <w:szCs w:val="24"/>
        </w:rPr>
        <w:t xml:space="preserve">Yaoundé </w:t>
      </w:r>
      <w:r w:rsidR="00494DBB" w:rsidRPr="00C20656">
        <w:rPr>
          <w:rFonts w:ascii="Times New Roman" w:hAnsi="Times New Roman" w:cs="Times New Roman"/>
          <w:sz w:val="24"/>
          <w:szCs w:val="24"/>
        </w:rPr>
        <w:t>,</w:t>
      </w:r>
      <w:proofErr w:type="gramEnd"/>
      <w:r w:rsidR="008F6FD6" w:rsidRPr="00C20656">
        <w:rPr>
          <w:rFonts w:ascii="Times New Roman" w:hAnsi="Times New Roman" w:cs="Times New Roman"/>
          <w:sz w:val="24"/>
          <w:szCs w:val="24"/>
        </w:rPr>
        <w:t xml:space="preserve"> </w:t>
      </w:r>
      <w:r w:rsidR="00A94BC5" w:rsidRPr="00C20656">
        <w:rPr>
          <w:rFonts w:ascii="Times New Roman" w:hAnsi="Times New Roman" w:cs="Times New Roman"/>
          <w:sz w:val="24"/>
          <w:szCs w:val="24"/>
        </w:rPr>
        <w:t xml:space="preserve">le maillage entre domaine et patrimoine </w:t>
      </w:r>
      <w:r w:rsidR="002D5A4E" w:rsidRPr="00C20656">
        <w:rPr>
          <w:rFonts w:ascii="Times New Roman" w:hAnsi="Times New Roman" w:cs="Times New Roman"/>
          <w:sz w:val="24"/>
          <w:szCs w:val="24"/>
        </w:rPr>
        <w:t xml:space="preserve"> se fait dans la douleur</w:t>
      </w:r>
      <w:r w:rsidR="00535CAD" w:rsidRPr="00C20656">
        <w:rPr>
          <w:rFonts w:ascii="Times New Roman" w:hAnsi="Times New Roman" w:cs="Times New Roman"/>
          <w:sz w:val="24"/>
          <w:szCs w:val="24"/>
        </w:rPr>
        <w:t xml:space="preserve">. </w:t>
      </w:r>
      <w:r w:rsidR="002F1436" w:rsidRPr="00C20656">
        <w:rPr>
          <w:rFonts w:ascii="Times New Roman" w:hAnsi="Times New Roman" w:cs="Times New Roman"/>
          <w:sz w:val="24"/>
          <w:szCs w:val="24"/>
        </w:rPr>
        <w:t xml:space="preserve">Car </w:t>
      </w:r>
      <w:r w:rsidR="002D5A4E"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 la </w:t>
      </w:r>
      <w:proofErr w:type="spellStart"/>
      <w:r w:rsidRPr="00C20656">
        <w:rPr>
          <w:rFonts w:ascii="Times New Roman" w:hAnsi="Times New Roman" w:cs="Times New Roman"/>
          <w:sz w:val="24"/>
          <w:szCs w:val="24"/>
        </w:rPr>
        <w:t>domanialisation</w:t>
      </w:r>
      <w:proofErr w:type="spellEnd"/>
      <w:r w:rsidRPr="00C20656">
        <w:rPr>
          <w:rFonts w:ascii="Times New Roman" w:hAnsi="Times New Roman" w:cs="Times New Roman"/>
          <w:sz w:val="24"/>
          <w:szCs w:val="24"/>
        </w:rPr>
        <w:t xml:space="preserve"> de </w:t>
      </w:r>
      <w:r w:rsidR="00436BFF" w:rsidRPr="00C20656">
        <w:rPr>
          <w:rFonts w:ascii="Times New Roman" w:hAnsi="Times New Roman" w:cs="Times New Roman"/>
          <w:sz w:val="24"/>
          <w:szCs w:val="24"/>
        </w:rPr>
        <w:t>l’espace par</w:t>
      </w:r>
      <w:r w:rsidR="00BB3700" w:rsidRPr="00C20656">
        <w:rPr>
          <w:rFonts w:ascii="Times New Roman" w:hAnsi="Times New Roman" w:cs="Times New Roman"/>
          <w:sz w:val="24"/>
          <w:szCs w:val="24"/>
        </w:rPr>
        <w:t xml:space="preserve"> le truchement</w:t>
      </w:r>
      <w:r w:rsidR="007123DE" w:rsidRPr="00C20656">
        <w:rPr>
          <w:rFonts w:ascii="Times New Roman" w:hAnsi="Times New Roman" w:cs="Times New Roman"/>
          <w:sz w:val="24"/>
          <w:szCs w:val="24"/>
        </w:rPr>
        <w:t xml:space="preserve"> de la catégorie juridique du domaine privé de l’État  </w:t>
      </w:r>
      <w:r w:rsidR="00286C7F" w:rsidRPr="00C20656">
        <w:rPr>
          <w:rFonts w:ascii="Times New Roman" w:hAnsi="Times New Roman" w:cs="Times New Roman"/>
          <w:sz w:val="24"/>
          <w:szCs w:val="24"/>
        </w:rPr>
        <w:t xml:space="preserve">ne s’assimile plus à la patrimonialisation. Les terres </w:t>
      </w:r>
      <w:r w:rsidR="00436BFF" w:rsidRPr="00C20656">
        <w:rPr>
          <w:rFonts w:ascii="Times New Roman" w:hAnsi="Times New Roman" w:cs="Times New Roman"/>
          <w:sz w:val="24"/>
          <w:szCs w:val="24"/>
        </w:rPr>
        <w:t>domanialisées</w:t>
      </w:r>
      <w:r w:rsidR="00804402" w:rsidRPr="00C20656">
        <w:rPr>
          <w:rFonts w:ascii="Times New Roman" w:hAnsi="Times New Roman" w:cs="Times New Roman"/>
          <w:sz w:val="24"/>
          <w:szCs w:val="24"/>
        </w:rPr>
        <w:t xml:space="preserve"> par l’</w:t>
      </w:r>
      <w:r w:rsidR="00515E60" w:rsidRPr="00C20656">
        <w:rPr>
          <w:rFonts w:ascii="Times New Roman" w:hAnsi="Times New Roman" w:cs="Times New Roman"/>
          <w:sz w:val="24"/>
          <w:szCs w:val="24"/>
        </w:rPr>
        <w:t xml:space="preserve">État </w:t>
      </w:r>
      <w:r w:rsidR="00341C81" w:rsidRPr="00C20656">
        <w:rPr>
          <w:rFonts w:ascii="Times New Roman" w:hAnsi="Times New Roman" w:cs="Times New Roman"/>
          <w:sz w:val="24"/>
          <w:szCs w:val="24"/>
        </w:rPr>
        <w:t>deviennent des</w:t>
      </w:r>
      <w:r w:rsidR="00515E60" w:rsidRPr="00C20656">
        <w:rPr>
          <w:rFonts w:ascii="Times New Roman" w:hAnsi="Times New Roman" w:cs="Times New Roman"/>
          <w:sz w:val="24"/>
          <w:szCs w:val="24"/>
        </w:rPr>
        <w:t xml:space="preserve"> vastes espaces  de </w:t>
      </w:r>
      <w:proofErr w:type="spellStart"/>
      <w:r w:rsidR="00515E60" w:rsidRPr="00C20656">
        <w:rPr>
          <w:rFonts w:ascii="Times New Roman" w:hAnsi="Times New Roman" w:cs="Times New Roman"/>
          <w:sz w:val="24"/>
          <w:szCs w:val="24"/>
        </w:rPr>
        <w:t>dépatrimonialisation</w:t>
      </w:r>
      <w:proofErr w:type="spellEnd"/>
      <w:r w:rsidR="007B69D3" w:rsidRPr="00C20656">
        <w:rPr>
          <w:rFonts w:ascii="Times New Roman" w:hAnsi="Times New Roman" w:cs="Times New Roman"/>
          <w:sz w:val="24"/>
          <w:szCs w:val="24"/>
        </w:rPr>
        <w:t xml:space="preserve"> et génèrent des litiges fonciers  dans lesquels les détenteurs coutumiers de l’espace  </w:t>
      </w:r>
      <w:proofErr w:type="spellStart"/>
      <w:r w:rsidR="007B69D3" w:rsidRPr="00C20656">
        <w:rPr>
          <w:rFonts w:ascii="Times New Roman" w:hAnsi="Times New Roman" w:cs="Times New Roman"/>
          <w:sz w:val="24"/>
          <w:szCs w:val="24"/>
        </w:rPr>
        <w:t>estent</w:t>
      </w:r>
      <w:proofErr w:type="spellEnd"/>
      <w:r w:rsidR="007B69D3" w:rsidRPr="00C20656">
        <w:rPr>
          <w:rFonts w:ascii="Times New Roman" w:hAnsi="Times New Roman" w:cs="Times New Roman"/>
          <w:sz w:val="24"/>
          <w:szCs w:val="24"/>
        </w:rPr>
        <w:t xml:space="preserve"> l’État du Cameroun en justice.</w:t>
      </w:r>
      <w:r w:rsidR="00D04DFA" w:rsidRPr="00C20656">
        <w:rPr>
          <w:rFonts w:ascii="Times New Roman" w:hAnsi="Times New Roman" w:cs="Times New Roman"/>
          <w:sz w:val="24"/>
          <w:szCs w:val="24"/>
        </w:rPr>
        <w:t xml:space="preserve"> </w:t>
      </w:r>
      <w:r w:rsidR="00E071EC" w:rsidRPr="00C20656">
        <w:rPr>
          <w:rFonts w:ascii="Times New Roman" w:hAnsi="Times New Roman" w:cs="Times New Roman"/>
          <w:sz w:val="24"/>
          <w:szCs w:val="24"/>
        </w:rPr>
        <w:t xml:space="preserve">Et dans </w:t>
      </w:r>
      <w:r w:rsidR="005D44C0" w:rsidRPr="00C20656">
        <w:rPr>
          <w:rFonts w:ascii="Times New Roman" w:hAnsi="Times New Roman" w:cs="Times New Roman"/>
          <w:sz w:val="24"/>
          <w:szCs w:val="24"/>
        </w:rPr>
        <w:t xml:space="preserve">deux </w:t>
      </w:r>
      <w:r w:rsidR="00E071EC" w:rsidRPr="00C20656">
        <w:rPr>
          <w:rFonts w:ascii="Times New Roman" w:hAnsi="Times New Roman" w:cs="Times New Roman"/>
          <w:sz w:val="24"/>
          <w:szCs w:val="24"/>
        </w:rPr>
        <w:t xml:space="preserve"> cas précis des terres de </w:t>
      </w:r>
      <w:proofErr w:type="spellStart"/>
      <w:r w:rsidR="00E071EC" w:rsidRPr="00C20656">
        <w:rPr>
          <w:rFonts w:ascii="Times New Roman" w:hAnsi="Times New Roman" w:cs="Times New Roman"/>
          <w:sz w:val="24"/>
          <w:szCs w:val="24"/>
        </w:rPr>
        <w:t>Nkolbisson</w:t>
      </w:r>
      <w:proofErr w:type="spellEnd"/>
      <w:r w:rsidR="00E071EC" w:rsidRPr="00C20656">
        <w:rPr>
          <w:rFonts w:ascii="Times New Roman" w:hAnsi="Times New Roman" w:cs="Times New Roman"/>
          <w:sz w:val="24"/>
          <w:szCs w:val="24"/>
        </w:rPr>
        <w:t xml:space="preserve"> à Yaoundé et de </w:t>
      </w:r>
      <w:proofErr w:type="spellStart"/>
      <w:r w:rsidR="00E071EC" w:rsidRPr="00C20656">
        <w:rPr>
          <w:rFonts w:ascii="Times New Roman" w:hAnsi="Times New Roman" w:cs="Times New Roman"/>
          <w:sz w:val="24"/>
          <w:szCs w:val="24"/>
        </w:rPr>
        <w:t>Bomono</w:t>
      </w:r>
      <w:proofErr w:type="spellEnd"/>
      <w:r w:rsidR="00E071EC" w:rsidRPr="00C20656">
        <w:rPr>
          <w:rFonts w:ascii="Times New Roman" w:hAnsi="Times New Roman" w:cs="Times New Roman"/>
          <w:sz w:val="24"/>
          <w:szCs w:val="24"/>
        </w:rPr>
        <w:t xml:space="preserve"> à Douala, les jugements rendus par les tribunaux  révèlent une rationalité juridique  déficiente dans sa clarté et sa </w:t>
      </w:r>
      <w:proofErr w:type="gramStart"/>
      <w:r w:rsidR="00E071EC" w:rsidRPr="00C20656">
        <w:rPr>
          <w:rFonts w:ascii="Times New Roman" w:hAnsi="Times New Roman" w:cs="Times New Roman"/>
          <w:sz w:val="24"/>
          <w:szCs w:val="24"/>
        </w:rPr>
        <w:t>logique ,</w:t>
      </w:r>
      <w:proofErr w:type="gramEnd"/>
      <w:r w:rsidR="00E071EC" w:rsidRPr="00C20656">
        <w:rPr>
          <w:rFonts w:ascii="Times New Roman" w:hAnsi="Times New Roman" w:cs="Times New Roman"/>
          <w:sz w:val="24"/>
          <w:szCs w:val="24"/>
        </w:rPr>
        <w:t xml:space="preserve"> et porteuse potentiellement des saillies sur son armature épistémologique. Sur un même espace querellé notamment à </w:t>
      </w:r>
      <w:proofErr w:type="spellStart"/>
      <w:r w:rsidR="00E071EC" w:rsidRPr="00C20656">
        <w:rPr>
          <w:rFonts w:ascii="Times New Roman" w:hAnsi="Times New Roman" w:cs="Times New Roman"/>
          <w:sz w:val="24"/>
          <w:szCs w:val="24"/>
        </w:rPr>
        <w:t>Nkolbisson</w:t>
      </w:r>
      <w:proofErr w:type="spellEnd"/>
      <w:r w:rsidR="00E071EC" w:rsidRPr="00C20656">
        <w:rPr>
          <w:rFonts w:ascii="Times New Roman" w:hAnsi="Times New Roman" w:cs="Times New Roman"/>
          <w:sz w:val="24"/>
          <w:szCs w:val="24"/>
        </w:rPr>
        <w:t xml:space="preserve"> deux arrêts contradictoires sont rendus créant ainsi le cercle vicieux itératif d’annulation –réhabilitation des titres fonciers. À cela s’ajoutent aussi à la fin jugement des affaires  ces énoncés  du dispositif : « Le Tribunal Administratif est incompétent à donner  des injonctions à l’administration »</w:t>
      </w:r>
      <w:r w:rsidR="00E071EC" w:rsidRPr="00C20656">
        <w:rPr>
          <w:rStyle w:val="Appelnotedebasdep"/>
          <w:rFonts w:ascii="Times New Roman" w:hAnsi="Times New Roman" w:cs="Times New Roman"/>
          <w:sz w:val="24"/>
          <w:szCs w:val="24"/>
        </w:rPr>
        <w:footnoteReference w:id="4"/>
      </w:r>
      <w:r w:rsidR="00E071EC" w:rsidRPr="00C20656">
        <w:rPr>
          <w:rFonts w:ascii="Times New Roman" w:hAnsi="Times New Roman" w:cs="Times New Roman"/>
          <w:sz w:val="24"/>
          <w:szCs w:val="24"/>
        </w:rPr>
        <w:t> ; « Le Tribunal  est  incompétent  pour connaître  de la demande de  délivrance des titres fonciers au profit des familles autochtones »</w:t>
      </w:r>
      <w:r w:rsidR="00E071EC" w:rsidRPr="00C20656">
        <w:rPr>
          <w:rStyle w:val="Appelnotedebasdep"/>
          <w:rFonts w:ascii="Times New Roman" w:hAnsi="Times New Roman" w:cs="Times New Roman"/>
          <w:sz w:val="24"/>
          <w:szCs w:val="24"/>
        </w:rPr>
        <w:footnoteReference w:id="5"/>
      </w:r>
      <w:r w:rsidR="00E071EC" w:rsidRPr="00C20656">
        <w:rPr>
          <w:rFonts w:ascii="Times New Roman" w:hAnsi="Times New Roman" w:cs="Times New Roman"/>
          <w:sz w:val="24"/>
          <w:szCs w:val="24"/>
        </w:rPr>
        <w:t xml:space="preserve">. L’incompétence soulevée ici constitue surtout une défaillance, une inaptitude légale de la juridiction au sujet du </w:t>
      </w:r>
      <w:proofErr w:type="spellStart"/>
      <w:r w:rsidR="00E071EC" w:rsidRPr="00C20656">
        <w:rPr>
          <w:rFonts w:ascii="Times New Roman" w:hAnsi="Times New Roman" w:cs="Times New Roman"/>
          <w:i/>
          <w:sz w:val="24"/>
          <w:szCs w:val="24"/>
        </w:rPr>
        <w:t>ratione</w:t>
      </w:r>
      <w:proofErr w:type="spellEnd"/>
      <w:r w:rsidR="00E071EC" w:rsidRPr="00C20656">
        <w:rPr>
          <w:rFonts w:ascii="Times New Roman" w:hAnsi="Times New Roman" w:cs="Times New Roman"/>
          <w:i/>
          <w:sz w:val="24"/>
          <w:szCs w:val="24"/>
        </w:rPr>
        <w:t xml:space="preserve"> materiae </w:t>
      </w:r>
      <w:r w:rsidR="00E071EC" w:rsidRPr="00C20656">
        <w:rPr>
          <w:rFonts w:ascii="Times New Roman" w:hAnsi="Times New Roman" w:cs="Times New Roman"/>
          <w:sz w:val="24"/>
          <w:szCs w:val="24"/>
        </w:rPr>
        <w:t xml:space="preserve">(à propos de la raison de la matière à juger). </w:t>
      </w:r>
      <w:r w:rsidR="000B5842" w:rsidRPr="00C20656">
        <w:rPr>
          <w:rFonts w:ascii="Times New Roman" w:hAnsi="Times New Roman" w:cs="Times New Roman"/>
          <w:sz w:val="24"/>
          <w:szCs w:val="24"/>
        </w:rPr>
        <w:t xml:space="preserve">Cette incapacité légale des juridictions à connaître des litiges entre domaine privé de l’État et terres ancestrales en milieu urbain et péri-urbain à Yaoundé et </w:t>
      </w:r>
      <w:r w:rsidR="004115B0" w:rsidRPr="00C20656">
        <w:rPr>
          <w:rFonts w:ascii="Times New Roman" w:hAnsi="Times New Roman" w:cs="Times New Roman"/>
          <w:sz w:val="24"/>
          <w:szCs w:val="24"/>
        </w:rPr>
        <w:t>Douala soulève</w:t>
      </w:r>
      <w:r w:rsidR="000B5842" w:rsidRPr="00C20656">
        <w:rPr>
          <w:rFonts w:ascii="Times New Roman" w:hAnsi="Times New Roman" w:cs="Times New Roman"/>
          <w:sz w:val="24"/>
          <w:szCs w:val="24"/>
        </w:rPr>
        <w:t xml:space="preserve"> le double problème de la non-résilience et de la non-</w:t>
      </w:r>
      <w:proofErr w:type="spellStart"/>
      <w:r w:rsidR="000B5842" w:rsidRPr="00C20656">
        <w:rPr>
          <w:rFonts w:ascii="Times New Roman" w:hAnsi="Times New Roman" w:cs="Times New Roman"/>
          <w:sz w:val="24"/>
          <w:szCs w:val="24"/>
        </w:rPr>
        <w:t>inclusivité</w:t>
      </w:r>
      <w:proofErr w:type="spellEnd"/>
      <w:r w:rsidR="000B5842" w:rsidRPr="00C20656">
        <w:rPr>
          <w:rFonts w:ascii="Times New Roman" w:hAnsi="Times New Roman" w:cs="Times New Roman"/>
          <w:sz w:val="24"/>
          <w:szCs w:val="24"/>
        </w:rPr>
        <w:t xml:space="preserve"> des grandes villes camerounaises. Et c</w:t>
      </w:r>
      <w:r w:rsidR="00E071EC" w:rsidRPr="00C20656">
        <w:rPr>
          <w:rFonts w:ascii="Times New Roman" w:hAnsi="Times New Roman" w:cs="Times New Roman"/>
          <w:sz w:val="24"/>
          <w:szCs w:val="24"/>
        </w:rPr>
        <w:t>ette c</w:t>
      </w:r>
      <w:r w:rsidR="004115B0" w:rsidRPr="00C20656">
        <w:rPr>
          <w:rFonts w:ascii="Times New Roman" w:hAnsi="Times New Roman" w:cs="Times New Roman"/>
          <w:sz w:val="24"/>
          <w:szCs w:val="24"/>
        </w:rPr>
        <w:t xml:space="preserve">onflictualité foncière urbaine </w:t>
      </w:r>
      <w:r w:rsidR="00E071EC" w:rsidRPr="00C20656">
        <w:rPr>
          <w:rFonts w:ascii="Times New Roman" w:hAnsi="Times New Roman" w:cs="Times New Roman"/>
          <w:sz w:val="24"/>
          <w:szCs w:val="24"/>
        </w:rPr>
        <w:t>va s’aggrav</w:t>
      </w:r>
      <w:r w:rsidR="000B5842" w:rsidRPr="00C20656">
        <w:rPr>
          <w:rFonts w:ascii="Times New Roman" w:hAnsi="Times New Roman" w:cs="Times New Roman"/>
          <w:sz w:val="24"/>
          <w:szCs w:val="24"/>
        </w:rPr>
        <w:t>ant</w:t>
      </w:r>
      <w:r w:rsidR="00E071EC" w:rsidRPr="00C20656">
        <w:rPr>
          <w:rFonts w:ascii="Times New Roman" w:hAnsi="Times New Roman" w:cs="Times New Roman"/>
          <w:sz w:val="24"/>
          <w:szCs w:val="24"/>
        </w:rPr>
        <w:t xml:space="preserve"> en raison de l’</w:t>
      </w:r>
      <w:r w:rsidR="00DD7DAC" w:rsidRPr="00C20656">
        <w:rPr>
          <w:rFonts w:ascii="Times New Roman" w:hAnsi="Times New Roman" w:cs="Times New Roman"/>
          <w:sz w:val="24"/>
          <w:szCs w:val="24"/>
        </w:rPr>
        <w:t>urbanisation</w:t>
      </w:r>
      <w:r w:rsidR="00E071EC" w:rsidRPr="00C20656">
        <w:rPr>
          <w:rFonts w:ascii="Times New Roman" w:hAnsi="Times New Roman" w:cs="Times New Roman"/>
          <w:sz w:val="24"/>
          <w:szCs w:val="24"/>
        </w:rPr>
        <w:t xml:space="preserve"> galopante. En effet, selon Cheikh F.</w:t>
      </w:r>
      <w:r w:rsidR="004115B0" w:rsidRPr="00C20656">
        <w:rPr>
          <w:rFonts w:ascii="Times New Roman" w:hAnsi="Times New Roman" w:cs="Times New Roman"/>
          <w:sz w:val="24"/>
          <w:szCs w:val="24"/>
        </w:rPr>
        <w:t xml:space="preserve"> </w:t>
      </w:r>
      <w:r w:rsidR="00C75659" w:rsidRPr="00C20656">
        <w:rPr>
          <w:rFonts w:ascii="Times New Roman" w:hAnsi="Times New Roman" w:cs="Times New Roman"/>
          <w:sz w:val="24"/>
          <w:szCs w:val="24"/>
        </w:rPr>
        <w:t>K</w:t>
      </w:r>
      <w:r w:rsidR="00E071EC" w:rsidRPr="00C20656">
        <w:rPr>
          <w:rFonts w:ascii="Times New Roman" w:hAnsi="Times New Roman" w:cs="Times New Roman"/>
          <w:sz w:val="24"/>
          <w:szCs w:val="24"/>
        </w:rPr>
        <w:t xml:space="preserve">anté, directeur de division pour le Cameroun à la Banque </w:t>
      </w:r>
      <w:r w:rsidR="004115B0" w:rsidRPr="00C20656">
        <w:rPr>
          <w:rFonts w:ascii="Times New Roman" w:hAnsi="Times New Roman" w:cs="Times New Roman"/>
          <w:sz w:val="24"/>
          <w:szCs w:val="24"/>
        </w:rPr>
        <w:t>mondiale « le</w:t>
      </w:r>
      <w:r w:rsidR="00E071EC" w:rsidRPr="00C20656">
        <w:rPr>
          <w:rFonts w:ascii="Times New Roman" w:hAnsi="Times New Roman" w:cs="Times New Roman"/>
          <w:sz w:val="24"/>
          <w:szCs w:val="24"/>
        </w:rPr>
        <w:t xml:space="preserve"> taux de croissance annuel de </w:t>
      </w:r>
      <w:r w:rsidR="004115B0" w:rsidRPr="00C20656">
        <w:rPr>
          <w:rFonts w:ascii="Times New Roman" w:hAnsi="Times New Roman" w:cs="Times New Roman"/>
          <w:sz w:val="24"/>
          <w:szCs w:val="24"/>
        </w:rPr>
        <w:t>l’urbanisation est</w:t>
      </w:r>
      <w:r w:rsidR="00E071EC" w:rsidRPr="00C20656">
        <w:rPr>
          <w:rFonts w:ascii="Times New Roman" w:hAnsi="Times New Roman" w:cs="Times New Roman"/>
          <w:sz w:val="24"/>
          <w:szCs w:val="24"/>
        </w:rPr>
        <w:t xml:space="preserve"> estimé à 3,6 %.</w:t>
      </w:r>
      <w:r w:rsidR="004115B0" w:rsidRPr="00C20656">
        <w:rPr>
          <w:rFonts w:ascii="Times New Roman" w:hAnsi="Times New Roman" w:cs="Times New Roman"/>
          <w:sz w:val="24"/>
          <w:szCs w:val="24"/>
        </w:rPr>
        <w:t xml:space="preserve"> </w:t>
      </w:r>
      <w:r w:rsidR="00C75659" w:rsidRPr="00C20656">
        <w:rPr>
          <w:rFonts w:ascii="Times New Roman" w:hAnsi="Times New Roman" w:cs="Times New Roman"/>
          <w:sz w:val="24"/>
          <w:szCs w:val="24"/>
        </w:rPr>
        <w:t>D’ici 2050</w:t>
      </w:r>
      <w:r w:rsidR="00E071EC" w:rsidRPr="00C20656">
        <w:rPr>
          <w:rFonts w:ascii="Times New Roman" w:hAnsi="Times New Roman" w:cs="Times New Roman"/>
          <w:sz w:val="24"/>
          <w:szCs w:val="24"/>
        </w:rPr>
        <w:t xml:space="preserve">, environ 73% de la </w:t>
      </w:r>
      <w:r w:rsidR="00C75659" w:rsidRPr="00C20656">
        <w:rPr>
          <w:rFonts w:ascii="Times New Roman" w:hAnsi="Times New Roman" w:cs="Times New Roman"/>
          <w:sz w:val="24"/>
          <w:szCs w:val="24"/>
        </w:rPr>
        <w:t>population vivra</w:t>
      </w:r>
      <w:r w:rsidR="00E071EC" w:rsidRPr="00C20656">
        <w:rPr>
          <w:rFonts w:ascii="Times New Roman" w:hAnsi="Times New Roman" w:cs="Times New Roman"/>
          <w:sz w:val="24"/>
          <w:szCs w:val="24"/>
        </w:rPr>
        <w:t xml:space="preserve"> en ville  contre 53% en 2023. »</w:t>
      </w:r>
    </w:p>
    <w:p w:rsidR="007C5777" w:rsidRPr="00C20656" w:rsidRDefault="004115B0"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Pour juguler</w:t>
      </w:r>
      <w:r w:rsidR="00E071EC" w:rsidRPr="00C20656">
        <w:rPr>
          <w:rFonts w:ascii="Times New Roman" w:hAnsi="Times New Roman" w:cs="Times New Roman"/>
          <w:sz w:val="24"/>
          <w:szCs w:val="24"/>
        </w:rPr>
        <w:t xml:space="preserve"> ce </w:t>
      </w:r>
      <w:r w:rsidRPr="00C20656">
        <w:rPr>
          <w:rFonts w:ascii="Times New Roman" w:hAnsi="Times New Roman" w:cs="Times New Roman"/>
          <w:sz w:val="24"/>
          <w:szCs w:val="24"/>
        </w:rPr>
        <w:t>problème,</w:t>
      </w:r>
      <w:r w:rsidR="00E071EC" w:rsidRPr="00C20656">
        <w:rPr>
          <w:rFonts w:ascii="Times New Roman" w:hAnsi="Times New Roman" w:cs="Times New Roman"/>
          <w:sz w:val="24"/>
          <w:szCs w:val="24"/>
        </w:rPr>
        <w:t xml:space="preserve"> la Banque mondiale</w:t>
      </w:r>
      <w:r w:rsidR="000B5842" w:rsidRPr="00C20656">
        <w:rPr>
          <w:rFonts w:ascii="Times New Roman" w:hAnsi="Times New Roman" w:cs="Times New Roman"/>
          <w:sz w:val="24"/>
          <w:szCs w:val="24"/>
        </w:rPr>
        <w:t xml:space="preserve">, </w:t>
      </w:r>
      <w:r w:rsidR="00E071EC" w:rsidRPr="00C20656">
        <w:rPr>
          <w:rFonts w:ascii="Times New Roman" w:hAnsi="Times New Roman" w:cs="Times New Roman"/>
          <w:sz w:val="24"/>
          <w:szCs w:val="24"/>
        </w:rPr>
        <w:t xml:space="preserve">a approuvé le 30 mai </w:t>
      </w:r>
      <w:r w:rsidRPr="00C20656">
        <w:rPr>
          <w:rFonts w:ascii="Times New Roman" w:hAnsi="Times New Roman" w:cs="Times New Roman"/>
          <w:sz w:val="24"/>
          <w:szCs w:val="24"/>
        </w:rPr>
        <w:t>2025 le</w:t>
      </w:r>
      <w:r w:rsidR="00E071EC" w:rsidRPr="00C20656">
        <w:rPr>
          <w:rFonts w:ascii="Times New Roman" w:hAnsi="Times New Roman" w:cs="Times New Roman"/>
          <w:sz w:val="24"/>
          <w:szCs w:val="24"/>
        </w:rPr>
        <w:t xml:space="preserve"> financement d’un montant de deux cent millions de </w:t>
      </w:r>
      <w:r w:rsidRPr="00C20656">
        <w:rPr>
          <w:rFonts w:ascii="Times New Roman" w:hAnsi="Times New Roman" w:cs="Times New Roman"/>
          <w:sz w:val="24"/>
          <w:szCs w:val="24"/>
        </w:rPr>
        <w:t>dollars le</w:t>
      </w:r>
      <w:r w:rsidR="00E071EC" w:rsidRPr="00C20656">
        <w:rPr>
          <w:rFonts w:ascii="Times New Roman" w:hAnsi="Times New Roman" w:cs="Times New Roman"/>
          <w:sz w:val="24"/>
          <w:szCs w:val="24"/>
        </w:rPr>
        <w:t xml:space="preserve"> </w:t>
      </w:r>
      <w:r w:rsidR="00E071EC" w:rsidRPr="00C20656">
        <w:rPr>
          <w:rFonts w:ascii="Times New Roman" w:hAnsi="Times New Roman" w:cs="Times New Roman"/>
          <w:i/>
          <w:sz w:val="24"/>
          <w:szCs w:val="24"/>
        </w:rPr>
        <w:t xml:space="preserve">Projet de </w:t>
      </w:r>
      <w:r w:rsidRPr="00C20656">
        <w:rPr>
          <w:rFonts w:ascii="Times New Roman" w:hAnsi="Times New Roman" w:cs="Times New Roman"/>
          <w:i/>
          <w:sz w:val="24"/>
          <w:szCs w:val="24"/>
        </w:rPr>
        <w:t>villes résilientes</w:t>
      </w:r>
      <w:r w:rsidR="00E071EC" w:rsidRPr="00C20656">
        <w:rPr>
          <w:rFonts w:ascii="Times New Roman" w:hAnsi="Times New Roman" w:cs="Times New Roman"/>
          <w:i/>
          <w:sz w:val="24"/>
          <w:szCs w:val="24"/>
        </w:rPr>
        <w:t xml:space="preserve"> et aménagement du territoire</w:t>
      </w:r>
      <w:r w:rsidR="00E071EC" w:rsidRPr="00C20656">
        <w:rPr>
          <w:rFonts w:ascii="Times New Roman" w:hAnsi="Times New Roman" w:cs="Times New Roman"/>
          <w:sz w:val="24"/>
          <w:szCs w:val="24"/>
        </w:rPr>
        <w:t>. Ce projet comporte deux volets </w:t>
      </w:r>
      <w:proofErr w:type="gramStart"/>
      <w:r w:rsidR="00E071EC" w:rsidRPr="00C20656">
        <w:rPr>
          <w:rFonts w:ascii="Times New Roman" w:hAnsi="Times New Roman" w:cs="Times New Roman"/>
          <w:sz w:val="24"/>
          <w:szCs w:val="24"/>
        </w:rPr>
        <w:t>:  Le</w:t>
      </w:r>
      <w:proofErr w:type="gramEnd"/>
      <w:r w:rsidR="00E071EC" w:rsidRPr="00C20656">
        <w:rPr>
          <w:rFonts w:ascii="Times New Roman" w:hAnsi="Times New Roman" w:cs="Times New Roman"/>
          <w:sz w:val="24"/>
          <w:szCs w:val="24"/>
        </w:rPr>
        <w:t xml:space="preserve"> premier se focalise sur l’investissement dans des infrastructures urbaines transformatrices et résilientes au changement climatique dans les villes de Yaoundé et de Douala ; il s’accompagnera, en outre, d’un appui technique pour le développement durable des villes du Cameroun. Le second met en priorité l’amélioration des services d’administration foncière qui ne sont pas toujours en phase avec les enjeux de l’urbanisation durable et de la croissance du secteur privé au Cameroun.</w:t>
      </w:r>
      <w:r w:rsidR="005D44C0" w:rsidRPr="00C20656">
        <w:rPr>
          <w:rFonts w:ascii="Times New Roman" w:hAnsi="Times New Roman" w:cs="Times New Roman"/>
          <w:sz w:val="24"/>
          <w:szCs w:val="24"/>
        </w:rPr>
        <w:t xml:space="preserve"> Cette seconde comp</w:t>
      </w:r>
      <w:r w:rsidR="00C2604E" w:rsidRPr="00C20656">
        <w:rPr>
          <w:rFonts w:ascii="Times New Roman" w:hAnsi="Times New Roman" w:cs="Times New Roman"/>
          <w:sz w:val="24"/>
          <w:szCs w:val="24"/>
        </w:rPr>
        <w:t xml:space="preserve">osante du projet vient pallier </w:t>
      </w:r>
      <w:r w:rsidRPr="00C20656">
        <w:rPr>
          <w:rFonts w:ascii="Times New Roman" w:hAnsi="Times New Roman" w:cs="Times New Roman"/>
          <w:sz w:val="24"/>
          <w:szCs w:val="24"/>
        </w:rPr>
        <w:t>l’</w:t>
      </w:r>
      <w:r w:rsidR="00635FFD" w:rsidRPr="00C20656">
        <w:rPr>
          <w:rFonts w:ascii="Times New Roman" w:hAnsi="Times New Roman" w:cs="Times New Roman"/>
          <w:sz w:val="24"/>
          <w:szCs w:val="24"/>
        </w:rPr>
        <w:t>insuffisance</w:t>
      </w:r>
      <w:r w:rsidRPr="00C20656">
        <w:rPr>
          <w:rFonts w:ascii="Times New Roman" w:hAnsi="Times New Roman" w:cs="Times New Roman"/>
          <w:sz w:val="24"/>
          <w:szCs w:val="24"/>
        </w:rPr>
        <w:t xml:space="preserve"> </w:t>
      </w:r>
      <w:r w:rsidR="00890643" w:rsidRPr="00C20656">
        <w:rPr>
          <w:rFonts w:ascii="Times New Roman" w:hAnsi="Times New Roman" w:cs="Times New Roman"/>
          <w:sz w:val="24"/>
          <w:szCs w:val="24"/>
        </w:rPr>
        <w:t xml:space="preserve">opérationnelle </w:t>
      </w:r>
      <w:r w:rsidR="00DB5583" w:rsidRPr="00C20656">
        <w:rPr>
          <w:rFonts w:ascii="Times New Roman" w:hAnsi="Times New Roman" w:cs="Times New Roman"/>
          <w:sz w:val="24"/>
          <w:szCs w:val="24"/>
        </w:rPr>
        <w:t xml:space="preserve">du précédent Projet de Développement des Villes Inclusives et Résilientes (PDVIR) </w:t>
      </w:r>
      <w:r w:rsidR="00890643" w:rsidRPr="00C20656">
        <w:rPr>
          <w:rFonts w:ascii="Times New Roman" w:hAnsi="Times New Roman" w:cs="Times New Roman"/>
          <w:sz w:val="24"/>
          <w:szCs w:val="24"/>
        </w:rPr>
        <w:t>achevé</w:t>
      </w:r>
      <w:r w:rsidR="00DB5583" w:rsidRPr="00C20656">
        <w:rPr>
          <w:rFonts w:ascii="Times New Roman" w:hAnsi="Times New Roman" w:cs="Times New Roman"/>
          <w:sz w:val="24"/>
          <w:szCs w:val="24"/>
        </w:rPr>
        <w:t xml:space="preserve"> le 30 juin 2025. </w:t>
      </w:r>
      <w:r w:rsidR="00E071EC" w:rsidRPr="00C20656">
        <w:rPr>
          <w:rFonts w:ascii="Times New Roman" w:hAnsi="Times New Roman" w:cs="Times New Roman"/>
          <w:sz w:val="24"/>
          <w:szCs w:val="24"/>
        </w:rPr>
        <w:t>La phase  d’implémentation du projet</w:t>
      </w:r>
      <w:r w:rsidR="00FA3390" w:rsidRPr="00C20656">
        <w:rPr>
          <w:rFonts w:ascii="Times New Roman" w:hAnsi="Times New Roman" w:cs="Times New Roman"/>
          <w:sz w:val="24"/>
          <w:szCs w:val="24"/>
        </w:rPr>
        <w:t xml:space="preserve"> en cours </w:t>
      </w:r>
      <w:r w:rsidR="00E071EC" w:rsidRPr="00C20656">
        <w:rPr>
          <w:rFonts w:ascii="Times New Roman" w:hAnsi="Times New Roman" w:cs="Times New Roman"/>
          <w:sz w:val="24"/>
          <w:szCs w:val="24"/>
        </w:rPr>
        <w:t xml:space="preserve"> a démarré le 11 septembre 2025  avec la signature du décret n° 2025/A58 du Président de la République  du Cameroun  habilitant  le Ministre de l’Économie , de la Planification et de l’Aménagement du territoire à signer avec l’Association Internationale de Développement (IDA), un Accord de crédit de 184,5 millions d’euros , soit environ  121,3 milliards de francs CFA, sous forme de prêt , pour le financement du Projet  Villes et Gestion Foncière Durable (PVGFD).</w:t>
      </w:r>
      <w:r w:rsidRPr="00C20656">
        <w:rPr>
          <w:rFonts w:ascii="Times New Roman" w:hAnsi="Times New Roman" w:cs="Times New Roman"/>
          <w:sz w:val="24"/>
          <w:szCs w:val="24"/>
        </w:rPr>
        <w:t xml:space="preserve"> Et dans la composante foncière du projet</w:t>
      </w:r>
      <w:r w:rsidR="004F2DFD" w:rsidRPr="00C20656">
        <w:rPr>
          <w:rFonts w:ascii="Times New Roman" w:hAnsi="Times New Roman" w:cs="Times New Roman"/>
          <w:sz w:val="24"/>
          <w:szCs w:val="24"/>
        </w:rPr>
        <w:t xml:space="preserve">, </w:t>
      </w:r>
      <w:r w:rsidR="003F2BC2" w:rsidRPr="00C20656">
        <w:rPr>
          <w:rFonts w:ascii="Times New Roman" w:hAnsi="Times New Roman" w:cs="Times New Roman"/>
          <w:sz w:val="24"/>
          <w:szCs w:val="24"/>
        </w:rPr>
        <w:t>le mécanisme</w:t>
      </w:r>
      <w:r w:rsidRPr="00C20656">
        <w:rPr>
          <w:rFonts w:ascii="Times New Roman" w:hAnsi="Times New Roman" w:cs="Times New Roman"/>
          <w:sz w:val="24"/>
          <w:szCs w:val="24"/>
        </w:rPr>
        <w:t xml:space="preserve"> Land</w:t>
      </w:r>
      <w:r w:rsidR="00973C69" w:rsidRPr="00C20656">
        <w:rPr>
          <w:rFonts w:ascii="Times New Roman" w:hAnsi="Times New Roman" w:cs="Times New Roman"/>
          <w:sz w:val="24"/>
          <w:szCs w:val="24"/>
        </w:rPr>
        <w:t xml:space="preserve"> </w:t>
      </w:r>
      <w:proofErr w:type="spellStart"/>
      <w:r w:rsidR="00973C69" w:rsidRPr="00C20656">
        <w:rPr>
          <w:rFonts w:ascii="Times New Roman" w:hAnsi="Times New Roman" w:cs="Times New Roman"/>
          <w:sz w:val="24"/>
          <w:szCs w:val="24"/>
        </w:rPr>
        <w:t>P</w:t>
      </w:r>
      <w:r w:rsidRPr="00C20656">
        <w:rPr>
          <w:rFonts w:ascii="Times New Roman" w:hAnsi="Times New Roman" w:cs="Times New Roman"/>
          <w:sz w:val="24"/>
          <w:szCs w:val="24"/>
        </w:rPr>
        <w:t>ooling</w:t>
      </w:r>
      <w:proofErr w:type="spellEnd"/>
      <w:r w:rsidR="00973C69" w:rsidRPr="00C20656">
        <w:rPr>
          <w:rFonts w:ascii="Times New Roman" w:hAnsi="Times New Roman" w:cs="Times New Roman"/>
          <w:sz w:val="24"/>
          <w:szCs w:val="24"/>
        </w:rPr>
        <w:t xml:space="preserve"> (LP) et Land </w:t>
      </w:r>
      <w:proofErr w:type="spellStart"/>
      <w:r w:rsidR="00973C69" w:rsidRPr="00C20656">
        <w:rPr>
          <w:rFonts w:ascii="Times New Roman" w:hAnsi="Times New Roman" w:cs="Times New Roman"/>
          <w:sz w:val="24"/>
          <w:szCs w:val="24"/>
        </w:rPr>
        <w:t>R</w:t>
      </w:r>
      <w:r w:rsidRPr="00C20656">
        <w:rPr>
          <w:rFonts w:ascii="Times New Roman" w:hAnsi="Times New Roman" w:cs="Times New Roman"/>
          <w:sz w:val="24"/>
          <w:szCs w:val="24"/>
        </w:rPr>
        <w:t>eadjus</w:t>
      </w:r>
      <w:r w:rsidR="00973C69" w:rsidRPr="00C20656">
        <w:rPr>
          <w:rFonts w:ascii="Times New Roman" w:hAnsi="Times New Roman" w:cs="Times New Roman"/>
          <w:sz w:val="24"/>
          <w:szCs w:val="24"/>
        </w:rPr>
        <w:t>t</w:t>
      </w:r>
      <w:r w:rsidRPr="00C20656">
        <w:rPr>
          <w:rFonts w:ascii="Times New Roman" w:hAnsi="Times New Roman" w:cs="Times New Roman"/>
          <w:sz w:val="24"/>
          <w:szCs w:val="24"/>
        </w:rPr>
        <w:t>ment</w:t>
      </w:r>
      <w:proofErr w:type="spellEnd"/>
      <w:r w:rsidR="00973C69" w:rsidRPr="00C20656">
        <w:rPr>
          <w:rFonts w:ascii="Times New Roman" w:hAnsi="Times New Roman" w:cs="Times New Roman"/>
          <w:sz w:val="24"/>
          <w:szCs w:val="24"/>
        </w:rPr>
        <w:t xml:space="preserve"> (LR)</w:t>
      </w:r>
      <w:r w:rsidRPr="00C20656">
        <w:rPr>
          <w:rFonts w:ascii="Times New Roman" w:hAnsi="Times New Roman" w:cs="Times New Roman"/>
          <w:sz w:val="24"/>
          <w:szCs w:val="24"/>
        </w:rPr>
        <w:t xml:space="preserve"> encouragé par la Banque mondiale</w:t>
      </w:r>
      <w:r w:rsidR="003F2BC2" w:rsidRPr="00C20656">
        <w:rPr>
          <w:rFonts w:ascii="Times New Roman" w:hAnsi="Times New Roman" w:cs="Times New Roman"/>
          <w:sz w:val="24"/>
          <w:szCs w:val="24"/>
        </w:rPr>
        <w:t>,</w:t>
      </w:r>
      <w:r w:rsidRPr="00C20656">
        <w:rPr>
          <w:rFonts w:ascii="Times New Roman" w:hAnsi="Times New Roman" w:cs="Times New Roman"/>
          <w:sz w:val="24"/>
          <w:szCs w:val="24"/>
        </w:rPr>
        <w:t xml:space="preserve"> présente un réel intérêt</w:t>
      </w:r>
      <w:r w:rsidR="00FA3390" w:rsidRPr="00C20656">
        <w:rPr>
          <w:rFonts w:ascii="Times New Roman" w:hAnsi="Times New Roman" w:cs="Times New Roman"/>
          <w:sz w:val="24"/>
          <w:szCs w:val="24"/>
        </w:rPr>
        <w:t xml:space="preserve"> en </w:t>
      </w:r>
      <w:r w:rsidR="00C75659" w:rsidRPr="00C20656">
        <w:rPr>
          <w:rFonts w:ascii="Times New Roman" w:hAnsi="Times New Roman" w:cs="Times New Roman"/>
          <w:sz w:val="24"/>
          <w:szCs w:val="24"/>
        </w:rPr>
        <w:t>raison de</w:t>
      </w:r>
      <w:r w:rsidR="00FA3390" w:rsidRPr="00C20656">
        <w:rPr>
          <w:rFonts w:ascii="Times New Roman" w:hAnsi="Times New Roman" w:cs="Times New Roman"/>
          <w:sz w:val="24"/>
          <w:szCs w:val="24"/>
        </w:rPr>
        <w:t xml:space="preserve"> s</w:t>
      </w:r>
      <w:r w:rsidR="003F2BC2" w:rsidRPr="00C20656">
        <w:rPr>
          <w:rFonts w:ascii="Times New Roman" w:hAnsi="Times New Roman" w:cs="Times New Roman"/>
          <w:sz w:val="24"/>
          <w:szCs w:val="24"/>
        </w:rPr>
        <w:t>a flexibilité opérationnelle</w:t>
      </w:r>
      <w:r w:rsidR="004F2DFD" w:rsidRPr="00C20656">
        <w:rPr>
          <w:rFonts w:ascii="Times New Roman" w:hAnsi="Times New Roman" w:cs="Times New Roman"/>
          <w:sz w:val="24"/>
          <w:szCs w:val="24"/>
        </w:rPr>
        <w:t xml:space="preserve">. Mais son </w:t>
      </w:r>
      <w:r w:rsidR="004F2DFD" w:rsidRPr="00C20656">
        <w:rPr>
          <w:rFonts w:ascii="Times New Roman" w:hAnsi="Times New Roman" w:cs="Times New Roman"/>
          <w:sz w:val="24"/>
          <w:szCs w:val="24"/>
        </w:rPr>
        <w:lastRenderedPageBreak/>
        <w:t xml:space="preserve">application ne va pas sans soulever deux interrogations majeures : </w:t>
      </w:r>
      <w:r w:rsidR="002C3721" w:rsidRPr="00C20656">
        <w:rPr>
          <w:rFonts w:ascii="Times New Roman" w:hAnsi="Times New Roman" w:cs="Times New Roman"/>
          <w:sz w:val="24"/>
          <w:szCs w:val="24"/>
        </w:rPr>
        <w:t>La première consiste à se</w:t>
      </w:r>
      <w:r w:rsidR="00730E3B" w:rsidRPr="00C20656">
        <w:rPr>
          <w:rFonts w:ascii="Times New Roman" w:hAnsi="Times New Roman" w:cs="Times New Roman"/>
          <w:sz w:val="24"/>
          <w:szCs w:val="24"/>
        </w:rPr>
        <w:t xml:space="preserve"> demander </w:t>
      </w:r>
      <w:r w:rsidR="003F2BC2" w:rsidRPr="00C20656">
        <w:rPr>
          <w:rFonts w:ascii="Times New Roman" w:hAnsi="Times New Roman" w:cs="Times New Roman"/>
          <w:sz w:val="24"/>
          <w:szCs w:val="24"/>
        </w:rPr>
        <w:t xml:space="preserve">quelles sont </w:t>
      </w:r>
      <w:r w:rsidR="00973C69" w:rsidRPr="00C20656">
        <w:rPr>
          <w:rFonts w:ascii="Times New Roman" w:hAnsi="Times New Roman" w:cs="Times New Roman"/>
          <w:sz w:val="24"/>
          <w:szCs w:val="24"/>
        </w:rPr>
        <w:t xml:space="preserve">les </w:t>
      </w:r>
      <w:r w:rsidR="003F2BC2" w:rsidRPr="00C20656">
        <w:rPr>
          <w:rFonts w:ascii="Times New Roman" w:hAnsi="Times New Roman" w:cs="Times New Roman"/>
          <w:sz w:val="24"/>
          <w:szCs w:val="24"/>
        </w:rPr>
        <w:t xml:space="preserve">pesanteurs anthropologiques </w:t>
      </w:r>
      <w:r w:rsidR="00973C69" w:rsidRPr="00C20656">
        <w:rPr>
          <w:rFonts w:ascii="Times New Roman" w:hAnsi="Times New Roman" w:cs="Times New Roman"/>
          <w:sz w:val="24"/>
          <w:szCs w:val="24"/>
        </w:rPr>
        <w:t xml:space="preserve">pouvant freiner l’implémentation du LP et du LR  </w:t>
      </w:r>
      <w:r w:rsidR="00F16F33" w:rsidRPr="00C20656">
        <w:rPr>
          <w:rFonts w:ascii="Times New Roman" w:hAnsi="Times New Roman" w:cs="Times New Roman"/>
          <w:sz w:val="24"/>
          <w:szCs w:val="24"/>
        </w:rPr>
        <w:t xml:space="preserve"> dans les villes de D</w:t>
      </w:r>
      <w:r w:rsidR="007C5777" w:rsidRPr="00C20656">
        <w:rPr>
          <w:rFonts w:ascii="Times New Roman" w:hAnsi="Times New Roman" w:cs="Times New Roman"/>
          <w:sz w:val="24"/>
          <w:szCs w:val="24"/>
        </w:rPr>
        <w:t xml:space="preserve">ouala et </w:t>
      </w:r>
      <w:r w:rsidR="00F16F33" w:rsidRPr="00C20656">
        <w:rPr>
          <w:rFonts w:ascii="Times New Roman" w:hAnsi="Times New Roman" w:cs="Times New Roman"/>
          <w:sz w:val="24"/>
          <w:szCs w:val="24"/>
        </w:rPr>
        <w:t>Yaoundé</w:t>
      </w:r>
      <w:r w:rsidR="007C5777" w:rsidRPr="00C20656">
        <w:rPr>
          <w:rFonts w:ascii="Times New Roman" w:hAnsi="Times New Roman" w:cs="Times New Roman"/>
          <w:sz w:val="24"/>
          <w:szCs w:val="24"/>
        </w:rPr>
        <w:t xml:space="preserve"> et leurs environs</w:t>
      </w:r>
      <w:r w:rsidR="00973C69" w:rsidRPr="00C20656">
        <w:rPr>
          <w:rFonts w:ascii="Times New Roman" w:hAnsi="Times New Roman" w:cs="Times New Roman"/>
          <w:sz w:val="24"/>
          <w:szCs w:val="24"/>
        </w:rPr>
        <w:t>.</w:t>
      </w:r>
    </w:p>
    <w:p w:rsidR="00464F0B" w:rsidRPr="00C20656" w:rsidRDefault="00C75659"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Le second conduit</w:t>
      </w:r>
      <w:r w:rsidR="00464F0B" w:rsidRPr="00C20656">
        <w:rPr>
          <w:rFonts w:ascii="Times New Roman" w:hAnsi="Times New Roman" w:cs="Times New Roman"/>
          <w:sz w:val="24"/>
          <w:szCs w:val="24"/>
        </w:rPr>
        <w:t xml:space="preserve"> </w:t>
      </w:r>
      <w:r w:rsidR="00464F0B" w:rsidRPr="00C20656">
        <w:rPr>
          <w:rFonts w:ascii="Times New Roman" w:hAnsi="Times New Roman" w:cs="Times New Roman"/>
          <w:i/>
          <w:sz w:val="24"/>
          <w:szCs w:val="24"/>
        </w:rPr>
        <w:t xml:space="preserve">in fine </w:t>
      </w:r>
      <w:r w:rsidR="00890643" w:rsidRPr="00C20656">
        <w:rPr>
          <w:rFonts w:ascii="Times New Roman" w:hAnsi="Times New Roman" w:cs="Times New Roman"/>
          <w:sz w:val="24"/>
          <w:szCs w:val="24"/>
        </w:rPr>
        <w:t>à se poser la</w:t>
      </w:r>
      <w:r w:rsidR="00464F0B" w:rsidRPr="00C20656">
        <w:rPr>
          <w:rFonts w:ascii="Times New Roman" w:hAnsi="Times New Roman" w:cs="Times New Roman"/>
          <w:sz w:val="24"/>
          <w:szCs w:val="24"/>
        </w:rPr>
        <w:t xml:space="preserve"> question de savoir</w:t>
      </w:r>
      <w:r w:rsidR="00890643" w:rsidRPr="00C20656">
        <w:rPr>
          <w:rFonts w:ascii="Times New Roman" w:hAnsi="Times New Roman" w:cs="Times New Roman"/>
          <w:sz w:val="24"/>
          <w:szCs w:val="24"/>
        </w:rPr>
        <w:t xml:space="preserve"> : </w:t>
      </w:r>
      <w:r w:rsidR="00080D01" w:rsidRPr="00C20656">
        <w:rPr>
          <w:rFonts w:ascii="Times New Roman" w:hAnsi="Times New Roman" w:cs="Times New Roman"/>
          <w:sz w:val="24"/>
          <w:szCs w:val="24"/>
        </w:rPr>
        <w:t>comment créer</w:t>
      </w:r>
      <w:r w:rsidR="00890643" w:rsidRPr="00C20656">
        <w:rPr>
          <w:rFonts w:ascii="Times New Roman" w:hAnsi="Times New Roman" w:cs="Times New Roman"/>
          <w:sz w:val="24"/>
          <w:szCs w:val="24"/>
        </w:rPr>
        <w:t xml:space="preserve"> une adhérence </w:t>
      </w:r>
      <w:proofErr w:type="spellStart"/>
      <w:r w:rsidR="00890643" w:rsidRPr="00C20656">
        <w:rPr>
          <w:rFonts w:ascii="Times New Roman" w:hAnsi="Times New Roman" w:cs="Times New Roman"/>
          <w:sz w:val="24"/>
          <w:szCs w:val="24"/>
        </w:rPr>
        <w:t>anthropo</w:t>
      </w:r>
      <w:proofErr w:type="spellEnd"/>
      <w:r w:rsidR="00DB5583" w:rsidRPr="00C20656">
        <w:rPr>
          <w:rFonts w:ascii="Times New Roman" w:hAnsi="Times New Roman" w:cs="Times New Roman"/>
          <w:sz w:val="24"/>
          <w:szCs w:val="24"/>
        </w:rPr>
        <w:t>-</w:t>
      </w:r>
      <w:r w:rsidR="00080D01" w:rsidRPr="00C20656">
        <w:rPr>
          <w:rFonts w:ascii="Times New Roman" w:hAnsi="Times New Roman" w:cs="Times New Roman"/>
          <w:sz w:val="24"/>
          <w:szCs w:val="24"/>
        </w:rPr>
        <w:t>juridique du</w:t>
      </w:r>
      <w:r w:rsidR="00890643" w:rsidRPr="00C20656">
        <w:rPr>
          <w:rFonts w:ascii="Times New Roman" w:hAnsi="Times New Roman" w:cs="Times New Roman"/>
          <w:sz w:val="24"/>
          <w:szCs w:val="24"/>
        </w:rPr>
        <w:t xml:space="preserve"> LP et du LR avec</w:t>
      </w:r>
      <w:r w:rsidR="00464F0B" w:rsidRPr="00C20656">
        <w:rPr>
          <w:rFonts w:ascii="Times New Roman" w:hAnsi="Times New Roman" w:cs="Times New Roman"/>
          <w:sz w:val="24"/>
          <w:szCs w:val="24"/>
        </w:rPr>
        <w:t xml:space="preserve"> les logiques de patrimonialisation</w:t>
      </w:r>
      <w:r w:rsidR="00DB5583" w:rsidRPr="00C20656">
        <w:rPr>
          <w:rFonts w:ascii="Times New Roman" w:hAnsi="Times New Roman" w:cs="Times New Roman"/>
          <w:sz w:val="24"/>
          <w:szCs w:val="24"/>
        </w:rPr>
        <w:t xml:space="preserve"> très ancrées </w:t>
      </w:r>
      <w:r w:rsidR="00464F0B" w:rsidRPr="00C20656">
        <w:rPr>
          <w:rFonts w:ascii="Times New Roman" w:hAnsi="Times New Roman" w:cs="Times New Roman"/>
          <w:sz w:val="24"/>
          <w:szCs w:val="24"/>
        </w:rPr>
        <w:t>en milieu urbain et péri-</w:t>
      </w:r>
      <w:r w:rsidRPr="00C20656">
        <w:rPr>
          <w:rFonts w:ascii="Times New Roman" w:hAnsi="Times New Roman" w:cs="Times New Roman"/>
          <w:sz w:val="24"/>
          <w:szCs w:val="24"/>
        </w:rPr>
        <w:t>urbain à</w:t>
      </w:r>
      <w:r w:rsidR="00464F0B" w:rsidRPr="00C20656">
        <w:rPr>
          <w:rFonts w:ascii="Times New Roman" w:hAnsi="Times New Roman" w:cs="Times New Roman"/>
          <w:sz w:val="24"/>
          <w:szCs w:val="24"/>
        </w:rPr>
        <w:t xml:space="preserve"> </w:t>
      </w:r>
      <w:r w:rsidRPr="00C20656">
        <w:rPr>
          <w:rFonts w:ascii="Times New Roman" w:hAnsi="Times New Roman" w:cs="Times New Roman"/>
          <w:sz w:val="24"/>
          <w:szCs w:val="24"/>
        </w:rPr>
        <w:t>Yaoundé et</w:t>
      </w:r>
      <w:r w:rsidR="00464F0B" w:rsidRPr="00C20656">
        <w:rPr>
          <w:rFonts w:ascii="Times New Roman" w:hAnsi="Times New Roman" w:cs="Times New Roman"/>
          <w:sz w:val="24"/>
          <w:szCs w:val="24"/>
        </w:rPr>
        <w:t xml:space="preserve"> Douala.</w:t>
      </w:r>
    </w:p>
    <w:p w:rsidR="005A7E26" w:rsidRPr="00C20656" w:rsidRDefault="00CF4195"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Pour y répondre nous </w:t>
      </w:r>
      <w:bookmarkStart w:id="0" w:name="_GoBack"/>
      <w:bookmarkEnd w:id="0"/>
      <w:r w:rsidRPr="00C20656">
        <w:rPr>
          <w:rFonts w:ascii="Times New Roman" w:hAnsi="Times New Roman" w:cs="Times New Roman"/>
          <w:sz w:val="24"/>
          <w:szCs w:val="24"/>
        </w:rPr>
        <w:t>a</w:t>
      </w:r>
      <w:r w:rsidR="0002578A" w:rsidRPr="00C20656">
        <w:rPr>
          <w:rFonts w:ascii="Times New Roman" w:hAnsi="Times New Roman" w:cs="Times New Roman"/>
          <w:sz w:val="24"/>
          <w:szCs w:val="24"/>
        </w:rPr>
        <w:t xml:space="preserve">urons </w:t>
      </w:r>
      <w:r w:rsidRPr="00C20656">
        <w:rPr>
          <w:rFonts w:ascii="Times New Roman" w:hAnsi="Times New Roman" w:cs="Times New Roman"/>
          <w:sz w:val="24"/>
          <w:szCs w:val="24"/>
        </w:rPr>
        <w:t xml:space="preserve">recours </w:t>
      </w:r>
      <w:r w:rsidR="00660DCF" w:rsidRPr="00C20656">
        <w:rPr>
          <w:rFonts w:ascii="Times New Roman" w:hAnsi="Times New Roman" w:cs="Times New Roman"/>
          <w:sz w:val="24"/>
          <w:szCs w:val="24"/>
        </w:rPr>
        <w:t xml:space="preserve">à </w:t>
      </w:r>
      <w:r w:rsidR="00080D01" w:rsidRPr="00C20656">
        <w:rPr>
          <w:rFonts w:ascii="Times New Roman" w:hAnsi="Times New Roman" w:cs="Times New Roman"/>
          <w:sz w:val="24"/>
          <w:szCs w:val="24"/>
        </w:rPr>
        <w:t>la science anthropologique à travers</w:t>
      </w:r>
      <w:r w:rsidR="008F1C56" w:rsidRPr="00C20656">
        <w:rPr>
          <w:rFonts w:ascii="Times New Roman" w:hAnsi="Times New Roman" w:cs="Times New Roman"/>
          <w:sz w:val="24"/>
          <w:szCs w:val="24"/>
        </w:rPr>
        <w:t xml:space="preserve"> les techniques </w:t>
      </w:r>
      <w:r w:rsidR="00080D01" w:rsidRPr="00C20656">
        <w:rPr>
          <w:rFonts w:ascii="Times New Roman" w:hAnsi="Times New Roman" w:cs="Times New Roman"/>
          <w:sz w:val="24"/>
          <w:szCs w:val="24"/>
        </w:rPr>
        <w:t>d’observation et</w:t>
      </w:r>
      <w:r w:rsidR="008F1C56" w:rsidRPr="00C20656">
        <w:rPr>
          <w:rFonts w:ascii="Times New Roman" w:hAnsi="Times New Roman" w:cs="Times New Roman"/>
          <w:sz w:val="24"/>
          <w:szCs w:val="24"/>
        </w:rPr>
        <w:t xml:space="preserve"> les récits de vie</w:t>
      </w:r>
      <w:r w:rsidR="00A45C59" w:rsidRPr="00C20656">
        <w:rPr>
          <w:rFonts w:ascii="Times New Roman" w:hAnsi="Times New Roman" w:cs="Times New Roman"/>
          <w:sz w:val="24"/>
          <w:szCs w:val="24"/>
        </w:rPr>
        <w:t xml:space="preserve"> ; et </w:t>
      </w:r>
      <w:r w:rsidR="00080D01" w:rsidRPr="00C20656">
        <w:rPr>
          <w:rFonts w:ascii="Times New Roman" w:hAnsi="Times New Roman" w:cs="Times New Roman"/>
          <w:sz w:val="24"/>
          <w:szCs w:val="24"/>
        </w:rPr>
        <w:t>ensuite nous</w:t>
      </w:r>
      <w:r w:rsidR="00AF046E" w:rsidRPr="00C20656">
        <w:rPr>
          <w:rFonts w:ascii="Times New Roman" w:hAnsi="Times New Roman" w:cs="Times New Roman"/>
          <w:sz w:val="24"/>
          <w:szCs w:val="24"/>
        </w:rPr>
        <w:t xml:space="preserve"> </w:t>
      </w:r>
      <w:r w:rsidR="00660DCF" w:rsidRPr="00C20656">
        <w:rPr>
          <w:rFonts w:ascii="Times New Roman" w:hAnsi="Times New Roman" w:cs="Times New Roman"/>
          <w:sz w:val="24"/>
          <w:szCs w:val="24"/>
        </w:rPr>
        <w:t>ferons</w:t>
      </w:r>
      <w:r w:rsidR="00E54695" w:rsidRPr="00C20656">
        <w:rPr>
          <w:rFonts w:ascii="Times New Roman" w:hAnsi="Times New Roman" w:cs="Times New Roman"/>
          <w:sz w:val="24"/>
          <w:szCs w:val="24"/>
        </w:rPr>
        <w:t xml:space="preserve"> appel au </w:t>
      </w:r>
      <w:r w:rsidR="00080D01" w:rsidRPr="00C20656">
        <w:rPr>
          <w:rFonts w:ascii="Times New Roman" w:hAnsi="Times New Roman" w:cs="Times New Roman"/>
          <w:sz w:val="24"/>
          <w:szCs w:val="24"/>
        </w:rPr>
        <w:t>réalisme praxéologique</w:t>
      </w:r>
      <w:r w:rsidR="00AF046E" w:rsidRPr="00C20656">
        <w:rPr>
          <w:rFonts w:ascii="Times New Roman" w:hAnsi="Times New Roman" w:cs="Times New Roman"/>
          <w:sz w:val="24"/>
          <w:szCs w:val="24"/>
        </w:rPr>
        <w:t xml:space="preserve"> du droit</w:t>
      </w:r>
      <w:r w:rsidR="00F44BF7" w:rsidRPr="00C20656">
        <w:rPr>
          <w:rFonts w:ascii="Times New Roman" w:hAnsi="Times New Roman" w:cs="Times New Roman"/>
          <w:sz w:val="24"/>
          <w:szCs w:val="24"/>
        </w:rPr>
        <w:t xml:space="preserve"> à travers le raisonnement pratique ordinaire </w:t>
      </w:r>
      <w:r w:rsidR="00C14F47" w:rsidRPr="00C20656">
        <w:rPr>
          <w:rFonts w:ascii="Times New Roman" w:hAnsi="Times New Roman" w:cs="Times New Roman"/>
          <w:sz w:val="24"/>
          <w:szCs w:val="24"/>
        </w:rPr>
        <w:t>dévolu</w:t>
      </w:r>
      <w:r w:rsidR="00236DE9" w:rsidRPr="00C20656">
        <w:rPr>
          <w:rFonts w:ascii="Times New Roman" w:hAnsi="Times New Roman" w:cs="Times New Roman"/>
          <w:sz w:val="24"/>
          <w:szCs w:val="24"/>
        </w:rPr>
        <w:t xml:space="preserve"> à l’ethnométhodologie.</w:t>
      </w:r>
      <w:r w:rsidR="00236DE9" w:rsidRPr="00C20656">
        <w:rPr>
          <w:rStyle w:val="Appelnotedebasdep"/>
          <w:rFonts w:ascii="Times New Roman" w:hAnsi="Times New Roman" w:cs="Times New Roman"/>
          <w:sz w:val="24"/>
          <w:szCs w:val="24"/>
        </w:rPr>
        <w:footnoteReference w:id="6"/>
      </w:r>
    </w:p>
    <w:p w:rsidR="002559D1" w:rsidRPr="00C20656" w:rsidRDefault="00080D01"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Cette contribution vise à introdui</w:t>
      </w:r>
      <w:r w:rsidR="007D1F35" w:rsidRPr="00C20656">
        <w:rPr>
          <w:rFonts w:ascii="Times New Roman" w:hAnsi="Times New Roman" w:cs="Times New Roman"/>
          <w:sz w:val="24"/>
          <w:szCs w:val="24"/>
        </w:rPr>
        <w:t xml:space="preserve">re la clause de patrimonialité </w:t>
      </w:r>
      <w:r w:rsidRPr="00C20656">
        <w:rPr>
          <w:rFonts w:ascii="Times New Roman" w:hAnsi="Times New Roman" w:cs="Times New Roman"/>
          <w:sz w:val="24"/>
          <w:szCs w:val="24"/>
        </w:rPr>
        <w:t>dans les mécanismes d</w:t>
      </w:r>
      <w:r w:rsidR="00124241" w:rsidRPr="00C20656">
        <w:rPr>
          <w:rFonts w:ascii="Times New Roman" w:hAnsi="Times New Roman" w:cs="Times New Roman"/>
          <w:sz w:val="24"/>
          <w:szCs w:val="24"/>
        </w:rPr>
        <w:t xml:space="preserve">u Land </w:t>
      </w:r>
      <w:proofErr w:type="spellStart"/>
      <w:r w:rsidR="00124241" w:rsidRPr="00C20656">
        <w:rPr>
          <w:rFonts w:ascii="Times New Roman" w:hAnsi="Times New Roman" w:cs="Times New Roman"/>
          <w:sz w:val="24"/>
          <w:szCs w:val="24"/>
        </w:rPr>
        <w:t>Pooling</w:t>
      </w:r>
      <w:proofErr w:type="spellEnd"/>
      <w:r w:rsidR="00124241" w:rsidRPr="00C20656">
        <w:rPr>
          <w:rFonts w:ascii="Times New Roman" w:hAnsi="Times New Roman" w:cs="Times New Roman"/>
          <w:sz w:val="24"/>
          <w:szCs w:val="24"/>
        </w:rPr>
        <w:t xml:space="preserve"> et du Land </w:t>
      </w:r>
      <w:proofErr w:type="spellStart"/>
      <w:r w:rsidR="00124241" w:rsidRPr="00C20656">
        <w:rPr>
          <w:rFonts w:ascii="Times New Roman" w:hAnsi="Times New Roman" w:cs="Times New Roman"/>
          <w:sz w:val="24"/>
          <w:szCs w:val="24"/>
        </w:rPr>
        <w:t>Readjust</w:t>
      </w:r>
      <w:r w:rsidRPr="00C20656">
        <w:rPr>
          <w:rFonts w:ascii="Times New Roman" w:hAnsi="Times New Roman" w:cs="Times New Roman"/>
          <w:sz w:val="24"/>
          <w:szCs w:val="24"/>
        </w:rPr>
        <w:t>ment</w:t>
      </w:r>
      <w:proofErr w:type="spellEnd"/>
      <w:r w:rsidRPr="00C20656">
        <w:rPr>
          <w:rFonts w:ascii="Times New Roman" w:hAnsi="Times New Roman" w:cs="Times New Roman"/>
          <w:sz w:val="24"/>
          <w:szCs w:val="24"/>
        </w:rPr>
        <w:t xml:space="preserve"> </w:t>
      </w:r>
      <w:r w:rsidR="00124241" w:rsidRPr="00C20656">
        <w:rPr>
          <w:rFonts w:ascii="Times New Roman" w:hAnsi="Times New Roman" w:cs="Times New Roman"/>
          <w:sz w:val="24"/>
          <w:szCs w:val="24"/>
        </w:rPr>
        <w:t xml:space="preserve"> </w:t>
      </w:r>
      <w:r w:rsidR="0013105E" w:rsidRPr="00C20656">
        <w:rPr>
          <w:rFonts w:ascii="Times New Roman" w:hAnsi="Times New Roman" w:cs="Times New Roman"/>
          <w:sz w:val="24"/>
          <w:szCs w:val="24"/>
        </w:rPr>
        <w:t xml:space="preserve"> </w:t>
      </w:r>
      <w:r w:rsidR="00124241" w:rsidRPr="00C20656">
        <w:rPr>
          <w:rFonts w:ascii="Times New Roman" w:hAnsi="Times New Roman" w:cs="Times New Roman"/>
          <w:sz w:val="24"/>
          <w:szCs w:val="24"/>
        </w:rPr>
        <w:t xml:space="preserve">pour une meilleure efficacité   de la composante foncière du PVGFD. </w:t>
      </w:r>
      <w:r w:rsidR="007D1F35" w:rsidRPr="00C20656">
        <w:rPr>
          <w:rFonts w:ascii="Times New Roman" w:hAnsi="Times New Roman" w:cs="Times New Roman"/>
          <w:sz w:val="24"/>
          <w:szCs w:val="24"/>
        </w:rPr>
        <w:t xml:space="preserve">Car l’enjeu principal </w:t>
      </w:r>
      <w:r w:rsidR="004A3EFA" w:rsidRPr="00C20656">
        <w:rPr>
          <w:rFonts w:ascii="Times New Roman" w:hAnsi="Times New Roman" w:cs="Times New Roman"/>
          <w:sz w:val="24"/>
          <w:szCs w:val="24"/>
        </w:rPr>
        <w:t>de la gestion foncière durable</w:t>
      </w:r>
      <w:r w:rsidR="007D1F35" w:rsidRPr="00C20656">
        <w:rPr>
          <w:rFonts w:ascii="Times New Roman" w:hAnsi="Times New Roman" w:cs="Times New Roman"/>
          <w:sz w:val="24"/>
          <w:szCs w:val="24"/>
        </w:rPr>
        <w:t xml:space="preserve"> en milieu urbain et péri-urbain </w:t>
      </w:r>
      <w:r w:rsidR="00FA3390" w:rsidRPr="00C20656">
        <w:rPr>
          <w:rFonts w:ascii="Times New Roman" w:hAnsi="Times New Roman" w:cs="Times New Roman"/>
          <w:sz w:val="24"/>
          <w:szCs w:val="24"/>
        </w:rPr>
        <w:t xml:space="preserve"> au Cameroun</w:t>
      </w:r>
      <w:r w:rsidR="0013105E" w:rsidRPr="00C20656">
        <w:rPr>
          <w:rFonts w:ascii="Times New Roman" w:hAnsi="Times New Roman" w:cs="Times New Roman"/>
          <w:sz w:val="24"/>
          <w:szCs w:val="24"/>
        </w:rPr>
        <w:t xml:space="preserve"> </w:t>
      </w:r>
      <w:r w:rsidR="007D1F35" w:rsidRPr="00C20656">
        <w:rPr>
          <w:rFonts w:ascii="Times New Roman" w:hAnsi="Times New Roman" w:cs="Times New Roman"/>
          <w:sz w:val="24"/>
          <w:szCs w:val="24"/>
        </w:rPr>
        <w:t xml:space="preserve">est </w:t>
      </w:r>
      <w:r w:rsidR="004A3EFA" w:rsidRPr="00C20656">
        <w:rPr>
          <w:rFonts w:ascii="Times New Roman" w:hAnsi="Times New Roman" w:cs="Times New Roman"/>
          <w:sz w:val="24"/>
          <w:szCs w:val="24"/>
        </w:rPr>
        <w:t xml:space="preserve">l’épineuse question </w:t>
      </w:r>
      <w:r w:rsidR="007D1F35" w:rsidRPr="00C20656">
        <w:rPr>
          <w:rFonts w:ascii="Times New Roman" w:hAnsi="Times New Roman" w:cs="Times New Roman"/>
          <w:sz w:val="24"/>
          <w:szCs w:val="24"/>
        </w:rPr>
        <w:t>«</w:t>
      </w:r>
      <w:r w:rsidR="0013105E" w:rsidRPr="00C20656">
        <w:rPr>
          <w:rFonts w:ascii="Times New Roman" w:hAnsi="Times New Roman" w:cs="Times New Roman"/>
          <w:sz w:val="24"/>
          <w:szCs w:val="24"/>
        </w:rPr>
        <w:t xml:space="preserve"> </w:t>
      </w:r>
      <w:r w:rsidR="005303F3" w:rsidRPr="00C20656">
        <w:rPr>
          <w:rFonts w:ascii="Times New Roman" w:hAnsi="Times New Roman" w:cs="Times New Roman"/>
          <w:sz w:val="24"/>
          <w:szCs w:val="24"/>
        </w:rPr>
        <w:t xml:space="preserve">du devenir </w:t>
      </w:r>
      <w:r w:rsidR="00DE49BA" w:rsidRPr="00C20656">
        <w:rPr>
          <w:rFonts w:ascii="Times New Roman" w:hAnsi="Times New Roman" w:cs="Times New Roman"/>
          <w:sz w:val="24"/>
          <w:szCs w:val="24"/>
        </w:rPr>
        <w:t xml:space="preserve"> et aussi de l’identité de la minorité autochtone du village devenu ville ».</w:t>
      </w:r>
      <w:r w:rsidR="00DE49BA" w:rsidRPr="00C20656">
        <w:rPr>
          <w:rStyle w:val="Appelnotedebasdep"/>
          <w:rFonts w:ascii="Times New Roman" w:hAnsi="Times New Roman" w:cs="Times New Roman"/>
          <w:sz w:val="24"/>
          <w:szCs w:val="24"/>
        </w:rPr>
        <w:footnoteReference w:id="7"/>
      </w:r>
      <w:r w:rsidR="00DE49BA" w:rsidRPr="00C20656">
        <w:rPr>
          <w:rFonts w:ascii="Times New Roman" w:hAnsi="Times New Roman" w:cs="Times New Roman"/>
          <w:sz w:val="24"/>
          <w:szCs w:val="24"/>
        </w:rPr>
        <w:t xml:space="preserve"> </w:t>
      </w:r>
      <w:r w:rsidR="00AC4E5A" w:rsidRPr="00C20656">
        <w:rPr>
          <w:rFonts w:ascii="Times New Roman" w:hAnsi="Times New Roman" w:cs="Times New Roman"/>
          <w:sz w:val="24"/>
          <w:szCs w:val="24"/>
        </w:rPr>
        <w:t> </w:t>
      </w:r>
      <w:r w:rsidR="00DB5583" w:rsidRPr="00C20656">
        <w:rPr>
          <w:rFonts w:ascii="Times New Roman" w:hAnsi="Times New Roman" w:cs="Times New Roman"/>
          <w:sz w:val="24"/>
          <w:szCs w:val="24"/>
        </w:rPr>
        <w:t xml:space="preserve">Le spectre de la </w:t>
      </w:r>
      <w:proofErr w:type="spellStart"/>
      <w:r w:rsidR="00DB5583" w:rsidRPr="00C20656">
        <w:rPr>
          <w:rFonts w:ascii="Times New Roman" w:hAnsi="Times New Roman" w:cs="Times New Roman"/>
          <w:sz w:val="24"/>
          <w:szCs w:val="24"/>
        </w:rPr>
        <w:t>dépatrimonialisation</w:t>
      </w:r>
      <w:proofErr w:type="spellEnd"/>
      <w:r w:rsidR="00DB5583" w:rsidRPr="00C20656">
        <w:rPr>
          <w:rFonts w:ascii="Times New Roman" w:hAnsi="Times New Roman" w:cs="Times New Roman"/>
          <w:sz w:val="24"/>
          <w:szCs w:val="24"/>
        </w:rPr>
        <w:t xml:space="preserve"> </w:t>
      </w:r>
      <w:r w:rsidR="00C33C91" w:rsidRPr="00C20656">
        <w:rPr>
          <w:rFonts w:ascii="Times New Roman" w:hAnsi="Times New Roman" w:cs="Times New Roman"/>
          <w:sz w:val="24"/>
          <w:szCs w:val="24"/>
        </w:rPr>
        <w:t>en milieu urbain et pé</w:t>
      </w:r>
      <w:r w:rsidR="006F0612" w:rsidRPr="00C20656">
        <w:rPr>
          <w:rFonts w:ascii="Times New Roman" w:hAnsi="Times New Roman" w:cs="Times New Roman"/>
          <w:sz w:val="24"/>
          <w:szCs w:val="24"/>
        </w:rPr>
        <w:t xml:space="preserve">ri-urbain au Cameroun </w:t>
      </w:r>
      <w:r w:rsidR="00124241" w:rsidRPr="00C20656">
        <w:rPr>
          <w:rFonts w:ascii="Times New Roman" w:hAnsi="Times New Roman" w:cs="Times New Roman"/>
          <w:sz w:val="24"/>
          <w:szCs w:val="24"/>
        </w:rPr>
        <w:t>(I) peut être enrayé</w:t>
      </w:r>
      <w:r w:rsidR="00DB5583" w:rsidRPr="00C20656">
        <w:rPr>
          <w:rFonts w:ascii="Times New Roman" w:hAnsi="Times New Roman" w:cs="Times New Roman"/>
          <w:sz w:val="24"/>
          <w:szCs w:val="24"/>
        </w:rPr>
        <w:t xml:space="preserve"> </w:t>
      </w:r>
      <w:r w:rsidR="00124241" w:rsidRPr="00C20656">
        <w:rPr>
          <w:rFonts w:ascii="Times New Roman" w:hAnsi="Times New Roman" w:cs="Times New Roman"/>
          <w:sz w:val="24"/>
          <w:szCs w:val="24"/>
        </w:rPr>
        <w:t>par le</w:t>
      </w:r>
      <w:r w:rsidR="00DB5583" w:rsidRPr="00C20656">
        <w:rPr>
          <w:rFonts w:ascii="Times New Roman" w:hAnsi="Times New Roman" w:cs="Times New Roman"/>
          <w:sz w:val="24"/>
          <w:szCs w:val="24"/>
        </w:rPr>
        <w:t xml:space="preserve"> mécanisme d</w:t>
      </w:r>
      <w:r w:rsidRPr="00C20656">
        <w:rPr>
          <w:rFonts w:ascii="Times New Roman" w:hAnsi="Times New Roman" w:cs="Times New Roman"/>
          <w:sz w:val="24"/>
          <w:szCs w:val="24"/>
        </w:rPr>
        <w:t xml:space="preserve">u Land </w:t>
      </w:r>
      <w:proofErr w:type="spellStart"/>
      <w:r w:rsidRPr="00C20656">
        <w:rPr>
          <w:rFonts w:ascii="Times New Roman" w:hAnsi="Times New Roman" w:cs="Times New Roman"/>
          <w:sz w:val="24"/>
          <w:szCs w:val="24"/>
        </w:rPr>
        <w:t>P</w:t>
      </w:r>
      <w:r w:rsidR="00DB5583" w:rsidRPr="00C20656">
        <w:rPr>
          <w:rFonts w:ascii="Times New Roman" w:hAnsi="Times New Roman" w:cs="Times New Roman"/>
          <w:sz w:val="24"/>
          <w:szCs w:val="24"/>
        </w:rPr>
        <w:t>ooling</w:t>
      </w:r>
      <w:proofErr w:type="spellEnd"/>
      <w:r w:rsidR="00DB5583" w:rsidRPr="00C20656">
        <w:rPr>
          <w:rFonts w:ascii="Times New Roman" w:hAnsi="Times New Roman" w:cs="Times New Roman"/>
          <w:sz w:val="24"/>
          <w:szCs w:val="24"/>
        </w:rPr>
        <w:t xml:space="preserve"> et du Land </w:t>
      </w:r>
      <w:proofErr w:type="spellStart"/>
      <w:r w:rsidR="00DB5583" w:rsidRPr="00C20656">
        <w:rPr>
          <w:rFonts w:ascii="Times New Roman" w:hAnsi="Times New Roman" w:cs="Times New Roman"/>
          <w:sz w:val="24"/>
          <w:szCs w:val="24"/>
        </w:rPr>
        <w:t>Readjustment</w:t>
      </w:r>
      <w:proofErr w:type="spellEnd"/>
      <w:r w:rsidR="00DB5583" w:rsidRPr="00C20656">
        <w:rPr>
          <w:rFonts w:ascii="Times New Roman" w:hAnsi="Times New Roman" w:cs="Times New Roman"/>
          <w:sz w:val="24"/>
          <w:szCs w:val="24"/>
        </w:rPr>
        <w:t xml:space="preserve"> </w:t>
      </w:r>
      <w:r w:rsidR="00170F13" w:rsidRPr="00C20656">
        <w:rPr>
          <w:rFonts w:ascii="Times New Roman" w:hAnsi="Times New Roman" w:cs="Times New Roman"/>
          <w:sz w:val="24"/>
          <w:szCs w:val="24"/>
        </w:rPr>
        <w:t xml:space="preserve"> </w:t>
      </w:r>
      <w:r w:rsidR="00124241" w:rsidRPr="00C20656">
        <w:rPr>
          <w:rFonts w:ascii="Times New Roman" w:hAnsi="Times New Roman" w:cs="Times New Roman"/>
          <w:sz w:val="24"/>
          <w:szCs w:val="24"/>
        </w:rPr>
        <w:t>s’appuyant</w:t>
      </w:r>
      <w:r w:rsidR="00D176B3" w:rsidRPr="00C20656">
        <w:rPr>
          <w:rFonts w:ascii="Times New Roman" w:hAnsi="Times New Roman" w:cs="Times New Roman"/>
          <w:sz w:val="24"/>
          <w:szCs w:val="24"/>
        </w:rPr>
        <w:t xml:space="preserve"> sur</w:t>
      </w:r>
      <w:r w:rsidR="007D1F35" w:rsidRPr="00C20656">
        <w:rPr>
          <w:rFonts w:ascii="Times New Roman" w:hAnsi="Times New Roman" w:cs="Times New Roman"/>
          <w:sz w:val="24"/>
          <w:szCs w:val="24"/>
        </w:rPr>
        <w:t xml:space="preserve"> le principe de </w:t>
      </w:r>
      <w:r w:rsidR="00E2473C" w:rsidRPr="00C20656">
        <w:rPr>
          <w:rFonts w:ascii="Times New Roman" w:hAnsi="Times New Roman" w:cs="Times New Roman"/>
          <w:sz w:val="24"/>
          <w:szCs w:val="24"/>
        </w:rPr>
        <w:t xml:space="preserve"> l’</w:t>
      </w:r>
      <w:proofErr w:type="spellStart"/>
      <w:r w:rsidR="00E2473C" w:rsidRPr="00C20656">
        <w:rPr>
          <w:rFonts w:ascii="Times New Roman" w:hAnsi="Times New Roman" w:cs="Times New Roman"/>
          <w:sz w:val="24"/>
          <w:szCs w:val="24"/>
        </w:rPr>
        <w:t>abaliété</w:t>
      </w:r>
      <w:proofErr w:type="spellEnd"/>
      <w:r w:rsidR="00E2473C" w:rsidRPr="00C20656">
        <w:rPr>
          <w:rFonts w:ascii="Times New Roman" w:hAnsi="Times New Roman" w:cs="Times New Roman"/>
          <w:sz w:val="24"/>
          <w:szCs w:val="24"/>
        </w:rPr>
        <w:t xml:space="preserve"> juridique</w:t>
      </w:r>
      <w:r w:rsidR="007D1F35" w:rsidRPr="00C20656">
        <w:rPr>
          <w:rFonts w:ascii="Times New Roman" w:hAnsi="Times New Roman" w:cs="Times New Roman"/>
          <w:sz w:val="24"/>
          <w:szCs w:val="24"/>
        </w:rPr>
        <w:t xml:space="preserve">  (II)</w:t>
      </w:r>
      <w:r w:rsidR="00C33C91" w:rsidRPr="00C20656">
        <w:rPr>
          <w:rFonts w:ascii="Times New Roman" w:hAnsi="Times New Roman" w:cs="Times New Roman"/>
          <w:sz w:val="24"/>
          <w:szCs w:val="24"/>
        </w:rPr>
        <w:t>.</w:t>
      </w:r>
    </w:p>
    <w:p w:rsidR="002559D1" w:rsidRPr="00C20656" w:rsidRDefault="002559D1" w:rsidP="00C20656">
      <w:pPr>
        <w:pStyle w:val="Paragraphedeliste"/>
        <w:tabs>
          <w:tab w:val="left" w:pos="435"/>
          <w:tab w:val="left" w:pos="1860"/>
        </w:tabs>
        <w:spacing w:after="0" w:line="240" w:lineRule="auto"/>
        <w:ind w:left="1080"/>
        <w:jc w:val="both"/>
        <w:rPr>
          <w:rFonts w:ascii="Times New Roman" w:hAnsi="Times New Roman" w:cs="Times New Roman"/>
          <w:sz w:val="24"/>
          <w:szCs w:val="24"/>
        </w:rPr>
      </w:pPr>
    </w:p>
    <w:p w:rsidR="00C14F47" w:rsidRPr="00C20656" w:rsidRDefault="00F77A1B" w:rsidP="00C20656">
      <w:pPr>
        <w:pStyle w:val="Paragraphedeliste"/>
        <w:numPr>
          <w:ilvl w:val="0"/>
          <w:numId w:val="1"/>
        </w:numPr>
        <w:tabs>
          <w:tab w:val="left" w:pos="435"/>
          <w:tab w:val="left" w:pos="1860"/>
        </w:tabs>
        <w:spacing w:after="0" w:line="240" w:lineRule="auto"/>
        <w:jc w:val="both"/>
        <w:rPr>
          <w:rFonts w:ascii="Times New Roman" w:hAnsi="Times New Roman" w:cs="Times New Roman"/>
          <w:b/>
          <w:sz w:val="24"/>
          <w:szCs w:val="24"/>
        </w:rPr>
      </w:pPr>
      <w:proofErr w:type="spellStart"/>
      <w:r w:rsidRPr="00C20656">
        <w:rPr>
          <w:rFonts w:ascii="Times New Roman" w:hAnsi="Times New Roman" w:cs="Times New Roman"/>
          <w:b/>
          <w:sz w:val="24"/>
          <w:szCs w:val="24"/>
        </w:rPr>
        <w:t>D</w:t>
      </w:r>
      <w:r w:rsidR="00C14F47" w:rsidRPr="00C20656">
        <w:rPr>
          <w:rFonts w:ascii="Times New Roman" w:hAnsi="Times New Roman" w:cs="Times New Roman"/>
          <w:b/>
          <w:sz w:val="24"/>
          <w:szCs w:val="24"/>
        </w:rPr>
        <w:t>épatrimonialisation</w:t>
      </w:r>
      <w:proofErr w:type="spellEnd"/>
      <w:r w:rsidR="00DF26B4" w:rsidRPr="00C20656">
        <w:rPr>
          <w:rFonts w:ascii="Times New Roman" w:hAnsi="Times New Roman" w:cs="Times New Roman"/>
          <w:b/>
          <w:sz w:val="24"/>
          <w:szCs w:val="24"/>
        </w:rPr>
        <w:t> </w:t>
      </w:r>
      <w:r w:rsidR="00C33C91" w:rsidRPr="00C20656">
        <w:rPr>
          <w:rFonts w:ascii="Times New Roman" w:hAnsi="Times New Roman" w:cs="Times New Roman"/>
          <w:b/>
          <w:sz w:val="24"/>
          <w:szCs w:val="24"/>
        </w:rPr>
        <w:t xml:space="preserve">en milieu urbain et péri-urbain </w:t>
      </w:r>
      <w:r w:rsidRPr="00C20656">
        <w:rPr>
          <w:rFonts w:ascii="Times New Roman" w:hAnsi="Times New Roman" w:cs="Times New Roman"/>
          <w:b/>
          <w:sz w:val="24"/>
          <w:szCs w:val="24"/>
        </w:rPr>
        <w:t xml:space="preserve">au </w:t>
      </w:r>
      <w:r w:rsidR="00660DCF" w:rsidRPr="00C20656">
        <w:rPr>
          <w:rFonts w:ascii="Times New Roman" w:hAnsi="Times New Roman" w:cs="Times New Roman"/>
          <w:b/>
          <w:sz w:val="24"/>
          <w:szCs w:val="24"/>
        </w:rPr>
        <w:t>Cameroun</w:t>
      </w:r>
    </w:p>
    <w:p w:rsidR="00C14F47" w:rsidRPr="00C20656" w:rsidRDefault="00660DCF"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La </w:t>
      </w:r>
      <w:proofErr w:type="spellStart"/>
      <w:r w:rsidRPr="00C20656">
        <w:rPr>
          <w:rFonts w:ascii="Times New Roman" w:hAnsi="Times New Roman" w:cs="Times New Roman"/>
          <w:sz w:val="24"/>
          <w:szCs w:val="24"/>
        </w:rPr>
        <w:t>dépatrimonialisation</w:t>
      </w:r>
      <w:proofErr w:type="spellEnd"/>
      <w:r w:rsidRPr="00C20656">
        <w:rPr>
          <w:rFonts w:ascii="Times New Roman" w:hAnsi="Times New Roman" w:cs="Times New Roman"/>
          <w:sz w:val="24"/>
          <w:szCs w:val="24"/>
        </w:rPr>
        <w:t xml:space="preserve"> spatiale </w:t>
      </w:r>
      <w:r w:rsidR="00157BB7" w:rsidRPr="00C20656">
        <w:rPr>
          <w:rFonts w:ascii="Times New Roman" w:hAnsi="Times New Roman" w:cs="Times New Roman"/>
          <w:sz w:val="24"/>
          <w:szCs w:val="24"/>
        </w:rPr>
        <w:t xml:space="preserve"> </w:t>
      </w:r>
      <w:r w:rsidR="001F0BBF" w:rsidRPr="00C20656">
        <w:rPr>
          <w:rFonts w:ascii="Times New Roman" w:hAnsi="Times New Roman" w:cs="Times New Roman"/>
          <w:sz w:val="24"/>
          <w:szCs w:val="24"/>
        </w:rPr>
        <w:t xml:space="preserve"> en cours</w:t>
      </w:r>
      <w:r w:rsidR="00AE4E48" w:rsidRPr="00C20656">
        <w:rPr>
          <w:rFonts w:ascii="Times New Roman" w:hAnsi="Times New Roman" w:cs="Times New Roman"/>
          <w:sz w:val="24"/>
          <w:szCs w:val="24"/>
        </w:rPr>
        <w:t xml:space="preserve"> au Cameroun </w:t>
      </w:r>
      <w:r w:rsidR="007E6C8F" w:rsidRPr="00C20656">
        <w:rPr>
          <w:rFonts w:ascii="Times New Roman" w:hAnsi="Times New Roman" w:cs="Times New Roman"/>
          <w:sz w:val="24"/>
          <w:szCs w:val="24"/>
        </w:rPr>
        <w:t>notamment dans</w:t>
      </w:r>
      <w:r w:rsidR="001F0BBF" w:rsidRPr="00C20656">
        <w:rPr>
          <w:rFonts w:ascii="Times New Roman" w:hAnsi="Times New Roman" w:cs="Times New Roman"/>
          <w:sz w:val="24"/>
          <w:szCs w:val="24"/>
        </w:rPr>
        <w:t xml:space="preserve">  </w:t>
      </w:r>
      <w:r w:rsidR="00DF26B4" w:rsidRPr="00C20656">
        <w:rPr>
          <w:rFonts w:ascii="Times New Roman" w:hAnsi="Times New Roman" w:cs="Times New Roman"/>
          <w:sz w:val="24"/>
          <w:szCs w:val="24"/>
        </w:rPr>
        <w:t xml:space="preserve"> </w:t>
      </w:r>
      <w:r w:rsidR="007D1F35" w:rsidRPr="00C20656">
        <w:rPr>
          <w:rFonts w:ascii="Times New Roman" w:hAnsi="Times New Roman" w:cs="Times New Roman"/>
          <w:sz w:val="24"/>
          <w:szCs w:val="24"/>
        </w:rPr>
        <w:t>les villes de Douala et Yaoundé</w:t>
      </w:r>
      <w:r w:rsidRPr="00C20656">
        <w:rPr>
          <w:rFonts w:ascii="Times New Roman" w:hAnsi="Times New Roman" w:cs="Times New Roman"/>
          <w:sz w:val="24"/>
          <w:szCs w:val="24"/>
        </w:rPr>
        <w:t xml:space="preserve"> et leur périphérie </w:t>
      </w:r>
      <w:r w:rsidR="008F2BE2" w:rsidRPr="00C20656">
        <w:rPr>
          <w:rFonts w:ascii="Times New Roman" w:hAnsi="Times New Roman" w:cs="Times New Roman"/>
          <w:sz w:val="24"/>
          <w:szCs w:val="24"/>
        </w:rPr>
        <w:t>révèle</w:t>
      </w:r>
      <w:r w:rsidR="006624DB">
        <w:rPr>
          <w:rFonts w:ascii="Times New Roman" w:hAnsi="Times New Roman" w:cs="Times New Roman"/>
          <w:sz w:val="24"/>
          <w:szCs w:val="24"/>
        </w:rPr>
        <w:t xml:space="preserve"> </w:t>
      </w:r>
      <w:r w:rsidR="008D0B50" w:rsidRPr="00C20656">
        <w:rPr>
          <w:rFonts w:ascii="Times New Roman" w:hAnsi="Times New Roman" w:cs="Times New Roman"/>
          <w:sz w:val="24"/>
          <w:szCs w:val="24"/>
        </w:rPr>
        <w:t xml:space="preserve">un travestissement </w:t>
      </w:r>
      <w:r w:rsidR="00C75659" w:rsidRPr="00C20656">
        <w:rPr>
          <w:rFonts w:ascii="Times New Roman" w:hAnsi="Times New Roman" w:cs="Times New Roman"/>
          <w:sz w:val="24"/>
          <w:szCs w:val="24"/>
        </w:rPr>
        <w:t>des pratiques</w:t>
      </w:r>
      <w:r w:rsidR="001C34DE" w:rsidRPr="00C20656">
        <w:rPr>
          <w:rFonts w:ascii="Times New Roman" w:hAnsi="Times New Roman" w:cs="Times New Roman"/>
          <w:sz w:val="24"/>
          <w:szCs w:val="24"/>
        </w:rPr>
        <w:t xml:space="preserve"> sur l</w:t>
      </w:r>
      <w:r w:rsidR="007A275A" w:rsidRPr="00C20656">
        <w:rPr>
          <w:rFonts w:ascii="Times New Roman" w:hAnsi="Times New Roman" w:cs="Times New Roman"/>
          <w:sz w:val="24"/>
          <w:szCs w:val="24"/>
        </w:rPr>
        <w:t xml:space="preserve">a </w:t>
      </w:r>
      <w:proofErr w:type="spellStart"/>
      <w:r w:rsidR="007A275A" w:rsidRPr="00C20656">
        <w:rPr>
          <w:rFonts w:ascii="Times New Roman" w:hAnsi="Times New Roman" w:cs="Times New Roman"/>
          <w:sz w:val="24"/>
          <w:szCs w:val="24"/>
        </w:rPr>
        <w:t>domanialisation</w:t>
      </w:r>
      <w:proofErr w:type="spellEnd"/>
      <w:r w:rsidR="007A275A" w:rsidRPr="00C20656">
        <w:rPr>
          <w:rFonts w:ascii="Times New Roman" w:hAnsi="Times New Roman" w:cs="Times New Roman"/>
          <w:sz w:val="24"/>
          <w:szCs w:val="24"/>
        </w:rPr>
        <w:t xml:space="preserve"> </w:t>
      </w:r>
      <w:r w:rsidR="001C34DE" w:rsidRPr="00C20656">
        <w:rPr>
          <w:rFonts w:ascii="Times New Roman" w:hAnsi="Times New Roman" w:cs="Times New Roman"/>
          <w:sz w:val="24"/>
          <w:szCs w:val="24"/>
        </w:rPr>
        <w:t>chez les acteurs en présence</w:t>
      </w:r>
      <w:r w:rsidR="008D0B50" w:rsidRPr="00C20656">
        <w:rPr>
          <w:rFonts w:ascii="Times New Roman" w:hAnsi="Times New Roman" w:cs="Times New Roman"/>
          <w:sz w:val="24"/>
          <w:szCs w:val="24"/>
        </w:rPr>
        <w:t xml:space="preserve"> </w:t>
      </w:r>
      <w:r w:rsidR="0027760B" w:rsidRPr="00C20656">
        <w:rPr>
          <w:rFonts w:ascii="Times New Roman" w:hAnsi="Times New Roman" w:cs="Times New Roman"/>
          <w:sz w:val="24"/>
          <w:szCs w:val="24"/>
        </w:rPr>
        <w:t>occasio</w:t>
      </w:r>
      <w:r w:rsidR="007A275A" w:rsidRPr="00C20656">
        <w:rPr>
          <w:rFonts w:ascii="Times New Roman" w:hAnsi="Times New Roman" w:cs="Times New Roman"/>
          <w:sz w:val="24"/>
          <w:szCs w:val="24"/>
        </w:rPr>
        <w:t>nna</w:t>
      </w:r>
      <w:r w:rsidR="00291044" w:rsidRPr="00C20656">
        <w:rPr>
          <w:rFonts w:ascii="Times New Roman" w:hAnsi="Times New Roman" w:cs="Times New Roman"/>
          <w:sz w:val="24"/>
          <w:szCs w:val="24"/>
        </w:rPr>
        <w:t xml:space="preserve">nt une complexification </w:t>
      </w:r>
      <w:r w:rsidR="00C75659" w:rsidRPr="00C20656">
        <w:rPr>
          <w:rFonts w:ascii="Times New Roman" w:hAnsi="Times New Roman" w:cs="Times New Roman"/>
          <w:sz w:val="24"/>
          <w:szCs w:val="24"/>
        </w:rPr>
        <w:t xml:space="preserve">judiciaire </w:t>
      </w:r>
      <w:r w:rsidR="007A275A" w:rsidRPr="00C20656">
        <w:rPr>
          <w:rFonts w:ascii="Times New Roman" w:hAnsi="Times New Roman" w:cs="Times New Roman"/>
          <w:sz w:val="24"/>
          <w:szCs w:val="24"/>
        </w:rPr>
        <w:t xml:space="preserve">(A) et </w:t>
      </w:r>
      <w:r w:rsidR="007E6C8F" w:rsidRPr="00C20656">
        <w:rPr>
          <w:rFonts w:ascii="Times New Roman" w:hAnsi="Times New Roman" w:cs="Times New Roman"/>
          <w:sz w:val="24"/>
          <w:szCs w:val="24"/>
        </w:rPr>
        <w:t xml:space="preserve">résulte aussi de </w:t>
      </w:r>
      <w:r w:rsidR="007A275A" w:rsidRPr="00C20656">
        <w:rPr>
          <w:rFonts w:ascii="Times New Roman" w:hAnsi="Times New Roman" w:cs="Times New Roman"/>
          <w:sz w:val="24"/>
          <w:szCs w:val="24"/>
        </w:rPr>
        <w:t>l’aliénation au forceps de ces espaces par leurs détenteurs cout</w:t>
      </w:r>
      <w:r w:rsidR="007E6C8F" w:rsidRPr="00C20656">
        <w:rPr>
          <w:rFonts w:ascii="Times New Roman" w:hAnsi="Times New Roman" w:cs="Times New Roman"/>
          <w:sz w:val="24"/>
          <w:szCs w:val="24"/>
        </w:rPr>
        <w:t xml:space="preserve">umiers </w:t>
      </w:r>
      <w:r w:rsidR="007A275A" w:rsidRPr="00C20656">
        <w:rPr>
          <w:rFonts w:ascii="Times New Roman" w:hAnsi="Times New Roman" w:cs="Times New Roman"/>
          <w:sz w:val="24"/>
          <w:szCs w:val="24"/>
        </w:rPr>
        <w:t xml:space="preserve"> </w:t>
      </w:r>
      <w:r w:rsidR="001C34DE" w:rsidRPr="00C20656">
        <w:rPr>
          <w:rFonts w:ascii="Times New Roman" w:hAnsi="Times New Roman" w:cs="Times New Roman"/>
          <w:sz w:val="24"/>
          <w:szCs w:val="24"/>
        </w:rPr>
        <w:t>(B).</w:t>
      </w:r>
      <w:r w:rsidR="00157BB7" w:rsidRPr="00C20656">
        <w:rPr>
          <w:rFonts w:ascii="Times New Roman" w:hAnsi="Times New Roman" w:cs="Times New Roman"/>
          <w:sz w:val="24"/>
          <w:szCs w:val="24"/>
        </w:rPr>
        <w:t xml:space="preserve"> </w:t>
      </w:r>
      <w:r w:rsidR="00950F0B" w:rsidRPr="00C20656">
        <w:rPr>
          <w:rFonts w:ascii="Times New Roman" w:hAnsi="Times New Roman" w:cs="Times New Roman"/>
          <w:sz w:val="24"/>
          <w:szCs w:val="24"/>
        </w:rPr>
        <w:t xml:space="preserve"> </w:t>
      </w:r>
    </w:p>
    <w:p w:rsidR="00EC705C" w:rsidRPr="00C20656" w:rsidRDefault="00EC705C" w:rsidP="00C20656">
      <w:pPr>
        <w:tabs>
          <w:tab w:val="left" w:pos="435"/>
          <w:tab w:val="left" w:pos="1860"/>
        </w:tabs>
        <w:spacing w:after="0" w:line="240" w:lineRule="auto"/>
        <w:jc w:val="both"/>
        <w:rPr>
          <w:rFonts w:ascii="Times New Roman" w:hAnsi="Times New Roman" w:cs="Times New Roman"/>
          <w:sz w:val="24"/>
          <w:szCs w:val="24"/>
        </w:rPr>
      </w:pPr>
    </w:p>
    <w:p w:rsidR="007A275A" w:rsidRPr="00C20656" w:rsidRDefault="001C34DE" w:rsidP="00C20656">
      <w:pPr>
        <w:pStyle w:val="Paragraphedeliste"/>
        <w:numPr>
          <w:ilvl w:val="0"/>
          <w:numId w:val="6"/>
        </w:numPr>
        <w:tabs>
          <w:tab w:val="left" w:pos="435"/>
          <w:tab w:val="left" w:pos="1860"/>
        </w:tabs>
        <w:spacing w:after="0" w:line="240" w:lineRule="auto"/>
        <w:jc w:val="both"/>
        <w:rPr>
          <w:rFonts w:ascii="Times New Roman" w:hAnsi="Times New Roman" w:cs="Times New Roman"/>
          <w:b/>
          <w:sz w:val="24"/>
          <w:szCs w:val="24"/>
        </w:rPr>
      </w:pPr>
      <w:r w:rsidRPr="00C20656">
        <w:rPr>
          <w:rFonts w:ascii="Times New Roman" w:hAnsi="Times New Roman" w:cs="Times New Roman"/>
          <w:b/>
          <w:sz w:val="24"/>
          <w:szCs w:val="24"/>
        </w:rPr>
        <w:t xml:space="preserve"> Travestissement des pratiques </w:t>
      </w:r>
      <w:r w:rsidR="00D61E09" w:rsidRPr="00C20656">
        <w:rPr>
          <w:rFonts w:ascii="Times New Roman" w:hAnsi="Times New Roman" w:cs="Times New Roman"/>
          <w:b/>
          <w:sz w:val="24"/>
          <w:szCs w:val="24"/>
        </w:rPr>
        <w:t xml:space="preserve">de </w:t>
      </w:r>
      <w:proofErr w:type="spellStart"/>
      <w:r w:rsidR="00D61E09" w:rsidRPr="00C20656">
        <w:rPr>
          <w:rFonts w:ascii="Times New Roman" w:hAnsi="Times New Roman" w:cs="Times New Roman"/>
          <w:b/>
          <w:sz w:val="24"/>
          <w:szCs w:val="24"/>
        </w:rPr>
        <w:t>domanialisation</w:t>
      </w:r>
      <w:proofErr w:type="spellEnd"/>
      <w:r w:rsidR="007A275A" w:rsidRPr="00C20656">
        <w:rPr>
          <w:rFonts w:ascii="Times New Roman" w:hAnsi="Times New Roman" w:cs="Times New Roman"/>
          <w:b/>
          <w:sz w:val="24"/>
          <w:szCs w:val="24"/>
        </w:rPr>
        <w:t xml:space="preserve"> chez les acteurs en présence </w:t>
      </w:r>
    </w:p>
    <w:p w:rsidR="00F7474E" w:rsidRPr="00C20656" w:rsidRDefault="00415437"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w:t>
      </w:r>
      <w:r w:rsidR="000A44C9" w:rsidRPr="00C20656">
        <w:rPr>
          <w:rFonts w:ascii="Times New Roman" w:hAnsi="Times New Roman" w:cs="Times New Roman"/>
          <w:sz w:val="24"/>
          <w:szCs w:val="24"/>
        </w:rPr>
        <w:t xml:space="preserve"> </w:t>
      </w:r>
      <w:r w:rsidR="007E6C8F" w:rsidRPr="00C20656">
        <w:rPr>
          <w:rFonts w:ascii="Times New Roman" w:hAnsi="Times New Roman" w:cs="Times New Roman"/>
          <w:sz w:val="24"/>
          <w:szCs w:val="24"/>
        </w:rPr>
        <w:t xml:space="preserve">La </w:t>
      </w:r>
      <w:proofErr w:type="spellStart"/>
      <w:r w:rsidR="007E6C8F" w:rsidRPr="00C20656">
        <w:rPr>
          <w:rFonts w:ascii="Times New Roman" w:hAnsi="Times New Roman" w:cs="Times New Roman"/>
          <w:sz w:val="24"/>
          <w:szCs w:val="24"/>
        </w:rPr>
        <w:t>domanialisation</w:t>
      </w:r>
      <w:proofErr w:type="spellEnd"/>
      <w:r w:rsidR="007E6C8F" w:rsidRPr="00C20656">
        <w:rPr>
          <w:rFonts w:ascii="Times New Roman" w:hAnsi="Times New Roman" w:cs="Times New Roman"/>
          <w:sz w:val="24"/>
          <w:szCs w:val="24"/>
        </w:rPr>
        <w:t xml:space="preserve"> plus spécifiquement l</w:t>
      </w:r>
      <w:r w:rsidR="009F3EE7" w:rsidRPr="00C20656">
        <w:rPr>
          <w:rFonts w:ascii="Times New Roman" w:hAnsi="Times New Roman" w:cs="Times New Roman"/>
          <w:sz w:val="24"/>
          <w:szCs w:val="24"/>
        </w:rPr>
        <w:t xml:space="preserve">a législation sur le domaine privé de </w:t>
      </w:r>
      <w:r w:rsidR="00635FFD" w:rsidRPr="00C20656">
        <w:rPr>
          <w:rFonts w:ascii="Times New Roman" w:hAnsi="Times New Roman" w:cs="Times New Roman"/>
          <w:sz w:val="24"/>
          <w:szCs w:val="24"/>
        </w:rPr>
        <w:t>l’État est</w:t>
      </w:r>
      <w:r w:rsidR="009F3EE7" w:rsidRPr="00C20656">
        <w:rPr>
          <w:rFonts w:ascii="Times New Roman" w:hAnsi="Times New Roman" w:cs="Times New Roman"/>
          <w:sz w:val="24"/>
          <w:szCs w:val="24"/>
        </w:rPr>
        <w:t xml:space="preserve"> régie par deux textes   notamment les décrets</w:t>
      </w:r>
      <w:r w:rsidR="003C1CB4" w:rsidRPr="00C20656">
        <w:rPr>
          <w:rFonts w:ascii="Times New Roman" w:hAnsi="Times New Roman" w:cs="Times New Roman"/>
          <w:sz w:val="24"/>
          <w:szCs w:val="24"/>
        </w:rPr>
        <w:t xml:space="preserve"> </w:t>
      </w:r>
      <w:r w:rsidR="009F3EE7" w:rsidRPr="00C20656">
        <w:rPr>
          <w:rFonts w:ascii="Times New Roman" w:hAnsi="Times New Roman" w:cs="Times New Roman"/>
          <w:sz w:val="24"/>
          <w:szCs w:val="24"/>
        </w:rPr>
        <w:t xml:space="preserve">  n°76/167 du 27 </w:t>
      </w:r>
      <w:r w:rsidR="00635FFD" w:rsidRPr="00C20656">
        <w:rPr>
          <w:rFonts w:ascii="Times New Roman" w:hAnsi="Times New Roman" w:cs="Times New Roman"/>
          <w:sz w:val="24"/>
          <w:szCs w:val="24"/>
        </w:rPr>
        <w:t>avril 1976 et</w:t>
      </w:r>
      <w:r w:rsidR="009F3EE7" w:rsidRPr="00C20656">
        <w:rPr>
          <w:rFonts w:ascii="Times New Roman" w:hAnsi="Times New Roman" w:cs="Times New Roman"/>
          <w:sz w:val="24"/>
          <w:szCs w:val="24"/>
        </w:rPr>
        <w:t xml:space="preserve"> </w:t>
      </w:r>
      <w:r w:rsidR="00291044" w:rsidRPr="00C20656">
        <w:rPr>
          <w:rFonts w:ascii="Times New Roman" w:hAnsi="Times New Roman" w:cs="Times New Roman"/>
          <w:sz w:val="24"/>
          <w:szCs w:val="24"/>
        </w:rPr>
        <w:t>n°96/146 du 04 août 1995. Mais</w:t>
      </w:r>
      <w:r w:rsidR="00AF1C80" w:rsidRPr="00C20656">
        <w:rPr>
          <w:rFonts w:ascii="Times New Roman" w:hAnsi="Times New Roman" w:cs="Times New Roman"/>
          <w:sz w:val="24"/>
          <w:szCs w:val="24"/>
        </w:rPr>
        <w:t xml:space="preserve"> la genèse d</w:t>
      </w:r>
      <w:r w:rsidR="00291044" w:rsidRPr="00C20656">
        <w:rPr>
          <w:rFonts w:ascii="Times New Roman" w:hAnsi="Times New Roman" w:cs="Times New Roman"/>
          <w:sz w:val="24"/>
          <w:szCs w:val="24"/>
        </w:rPr>
        <w:t>es deux cas de con</w:t>
      </w:r>
      <w:r w:rsidR="00AF1C80" w:rsidRPr="00C20656">
        <w:rPr>
          <w:rFonts w:ascii="Times New Roman" w:hAnsi="Times New Roman" w:cs="Times New Roman"/>
          <w:sz w:val="24"/>
          <w:szCs w:val="24"/>
        </w:rPr>
        <w:t>f</w:t>
      </w:r>
      <w:r w:rsidR="00291044" w:rsidRPr="00C20656">
        <w:rPr>
          <w:rFonts w:ascii="Times New Roman" w:hAnsi="Times New Roman" w:cs="Times New Roman"/>
          <w:sz w:val="24"/>
          <w:szCs w:val="24"/>
        </w:rPr>
        <w:t>lit</w:t>
      </w:r>
      <w:r w:rsidR="00AF1C80" w:rsidRPr="00C20656">
        <w:rPr>
          <w:rFonts w:ascii="Times New Roman" w:hAnsi="Times New Roman" w:cs="Times New Roman"/>
          <w:sz w:val="24"/>
          <w:szCs w:val="24"/>
        </w:rPr>
        <w:t>s</w:t>
      </w:r>
      <w:r w:rsidR="00291044" w:rsidRPr="00C20656">
        <w:rPr>
          <w:rFonts w:ascii="Times New Roman" w:hAnsi="Times New Roman" w:cs="Times New Roman"/>
          <w:sz w:val="24"/>
          <w:szCs w:val="24"/>
        </w:rPr>
        <w:t xml:space="preserve"> </w:t>
      </w:r>
      <w:r w:rsidR="00635FFD" w:rsidRPr="00C20656">
        <w:rPr>
          <w:rFonts w:ascii="Times New Roman" w:hAnsi="Times New Roman" w:cs="Times New Roman"/>
          <w:sz w:val="24"/>
          <w:szCs w:val="24"/>
        </w:rPr>
        <w:t>fonciers sur</w:t>
      </w:r>
      <w:r w:rsidR="00511E8F" w:rsidRPr="00C20656">
        <w:rPr>
          <w:rFonts w:ascii="Times New Roman" w:hAnsi="Times New Roman" w:cs="Times New Roman"/>
          <w:sz w:val="24"/>
          <w:szCs w:val="24"/>
        </w:rPr>
        <w:t xml:space="preserve"> lesquels</w:t>
      </w:r>
      <w:r w:rsidR="00AF1C80" w:rsidRPr="00C20656">
        <w:rPr>
          <w:rFonts w:ascii="Times New Roman" w:hAnsi="Times New Roman" w:cs="Times New Roman"/>
          <w:sz w:val="24"/>
          <w:szCs w:val="24"/>
        </w:rPr>
        <w:t xml:space="preserve"> la présente réflexion</w:t>
      </w:r>
      <w:r w:rsidR="00B90A60" w:rsidRPr="00C20656">
        <w:rPr>
          <w:rFonts w:ascii="Times New Roman" w:hAnsi="Times New Roman" w:cs="Times New Roman"/>
          <w:sz w:val="24"/>
          <w:szCs w:val="24"/>
        </w:rPr>
        <w:t xml:space="preserve"> </w:t>
      </w:r>
      <w:r w:rsidR="00635FFD" w:rsidRPr="00C20656">
        <w:rPr>
          <w:rFonts w:ascii="Times New Roman" w:hAnsi="Times New Roman" w:cs="Times New Roman"/>
          <w:sz w:val="24"/>
          <w:szCs w:val="24"/>
        </w:rPr>
        <w:t>s’investit est</w:t>
      </w:r>
      <w:r w:rsidR="00B90A60" w:rsidRPr="00C20656">
        <w:rPr>
          <w:rFonts w:ascii="Times New Roman" w:hAnsi="Times New Roman" w:cs="Times New Roman"/>
          <w:sz w:val="24"/>
          <w:szCs w:val="24"/>
        </w:rPr>
        <w:t xml:space="preserve"> antérieure à cette législation.</w:t>
      </w:r>
    </w:p>
    <w:p w:rsidR="00B90A60" w:rsidRPr="00C20656" w:rsidRDefault="00B90A60"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Pour le  premier cas   notamment celui de </w:t>
      </w:r>
      <w:proofErr w:type="gramStart"/>
      <w:r w:rsidRPr="00C20656">
        <w:rPr>
          <w:rFonts w:ascii="Times New Roman" w:hAnsi="Times New Roman" w:cs="Times New Roman"/>
          <w:sz w:val="24"/>
          <w:szCs w:val="24"/>
        </w:rPr>
        <w:t>Yaoundé ,</w:t>
      </w:r>
      <w:proofErr w:type="gramEnd"/>
      <w:r w:rsidRPr="00C20656">
        <w:rPr>
          <w:rFonts w:ascii="Times New Roman" w:hAnsi="Times New Roman" w:cs="Times New Roman"/>
          <w:sz w:val="24"/>
          <w:szCs w:val="24"/>
        </w:rPr>
        <w:t xml:space="preserve"> le litige oppose la Collectivité </w:t>
      </w:r>
      <w:proofErr w:type="spellStart"/>
      <w:r w:rsidRPr="00C20656">
        <w:rPr>
          <w:rFonts w:ascii="Times New Roman" w:hAnsi="Times New Roman" w:cs="Times New Roman"/>
          <w:sz w:val="24"/>
          <w:szCs w:val="24"/>
        </w:rPr>
        <w:t>Mvog</w:t>
      </w:r>
      <w:proofErr w:type="spellEnd"/>
      <w:r w:rsidRPr="00C20656">
        <w:rPr>
          <w:rFonts w:ascii="Times New Roman" w:hAnsi="Times New Roman" w:cs="Times New Roman"/>
          <w:sz w:val="24"/>
          <w:szCs w:val="24"/>
        </w:rPr>
        <w:t xml:space="preserve">  </w:t>
      </w:r>
      <w:proofErr w:type="spellStart"/>
      <w:r w:rsidRPr="00C20656">
        <w:rPr>
          <w:rFonts w:ascii="Times New Roman" w:hAnsi="Times New Roman" w:cs="Times New Roman"/>
          <w:sz w:val="24"/>
          <w:szCs w:val="24"/>
        </w:rPr>
        <w:t>Melingui</w:t>
      </w:r>
      <w:proofErr w:type="spellEnd"/>
      <w:r w:rsidRPr="00C20656">
        <w:rPr>
          <w:rFonts w:ascii="Times New Roman" w:hAnsi="Times New Roman" w:cs="Times New Roman"/>
          <w:sz w:val="24"/>
          <w:szCs w:val="24"/>
        </w:rPr>
        <w:t xml:space="preserve"> du clan </w:t>
      </w:r>
      <w:proofErr w:type="spellStart"/>
      <w:r w:rsidRPr="00C20656">
        <w:rPr>
          <w:rFonts w:ascii="Times New Roman" w:hAnsi="Times New Roman" w:cs="Times New Roman"/>
          <w:sz w:val="24"/>
          <w:szCs w:val="24"/>
        </w:rPr>
        <w:t>Angok</w:t>
      </w:r>
      <w:proofErr w:type="spellEnd"/>
      <w:r w:rsidR="007263D4" w:rsidRPr="00C20656">
        <w:rPr>
          <w:rStyle w:val="Appelnotedebasdep"/>
          <w:rFonts w:ascii="Times New Roman" w:hAnsi="Times New Roman" w:cs="Times New Roman"/>
          <w:sz w:val="24"/>
          <w:szCs w:val="24"/>
        </w:rPr>
        <w:footnoteReference w:id="8"/>
      </w:r>
      <w:r w:rsidRPr="00C20656">
        <w:rPr>
          <w:rFonts w:ascii="Times New Roman" w:hAnsi="Times New Roman" w:cs="Times New Roman"/>
          <w:sz w:val="24"/>
          <w:szCs w:val="24"/>
        </w:rPr>
        <w:t xml:space="preserve"> </w:t>
      </w:r>
      <w:r w:rsidR="002F740F" w:rsidRPr="00C20656">
        <w:rPr>
          <w:rFonts w:ascii="Times New Roman" w:hAnsi="Times New Roman" w:cs="Times New Roman"/>
          <w:sz w:val="24"/>
          <w:szCs w:val="24"/>
        </w:rPr>
        <w:t xml:space="preserve">  contre l’État du Cameroun  </w:t>
      </w:r>
      <w:r w:rsidR="006C47F8" w:rsidRPr="00C20656">
        <w:rPr>
          <w:rFonts w:ascii="Times New Roman" w:hAnsi="Times New Roman" w:cs="Times New Roman"/>
          <w:sz w:val="24"/>
          <w:szCs w:val="24"/>
        </w:rPr>
        <w:t>représente</w:t>
      </w:r>
      <w:r w:rsidR="002F740F" w:rsidRPr="00C20656">
        <w:rPr>
          <w:rFonts w:ascii="Times New Roman" w:hAnsi="Times New Roman" w:cs="Times New Roman"/>
          <w:sz w:val="24"/>
          <w:szCs w:val="24"/>
        </w:rPr>
        <w:t xml:space="preserve">  ici par le Ministère des Domaines, du  Cadastre et des Affaires foncières</w:t>
      </w:r>
      <w:r w:rsidR="006C47F8" w:rsidRPr="00C20656">
        <w:rPr>
          <w:rFonts w:ascii="Times New Roman" w:hAnsi="Times New Roman" w:cs="Times New Roman"/>
          <w:sz w:val="24"/>
          <w:szCs w:val="24"/>
        </w:rPr>
        <w:t xml:space="preserve">. Les faits que nous </w:t>
      </w:r>
      <w:r w:rsidR="00635FFD" w:rsidRPr="00C20656">
        <w:rPr>
          <w:rFonts w:ascii="Times New Roman" w:hAnsi="Times New Roman" w:cs="Times New Roman"/>
          <w:sz w:val="24"/>
          <w:szCs w:val="24"/>
        </w:rPr>
        <w:t>présentons sont</w:t>
      </w:r>
      <w:r w:rsidR="006C47F8" w:rsidRPr="00C20656">
        <w:rPr>
          <w:rFonts w:ascii="Times New Roman" w:hAnsi="Times New Roman" w:cs="Times New Roman"/>
          <w:sz w:val="24"/>
          <w:szCs w:val="24"/>
        </w:rPr>
        <w:t xml:space="preserve"> </w:t>
      </w:r>
      <w:r w:rsidR="00635FFD" w:rsidRPr="00C20656">
        <w:rPr>
          <w:rFonts w:ascii="Times New Roman" w:hAnsi="Times New Roman" w:cs="Times New Roman"/>
          <w:sz w:val="24"/>
          <w:szCs w:val="24"/>
        </w:rPr>
        <w:t>extraits du</w:t>
      </w:r>
      <w:r w:rsidR="006C47F8" w:rsidRPr="00C20656">
        <w:rPr>
          <w:rFonts w:ascii="Times New Roman" w:hAnsi="Times New Roman" w:cs="Times New Roman"/>
          <w:sz w:val="24"/>
          <w:szCs w:val="24"/>
        </w:rPr>
        <w:t xml:space="preserve"> jugement n° 81/2012/CA/CS suite </w:t>
      </w:r>
      <w:r w:rsidR="00635FFD" w:rsidRPr="00C20656">
        <w:rPr>
          <w:rFonts w:ascii="Times New Roman" w:hAnsi="Times New Roman" w:cs="Times New Roman"/>
          <w:sz w:val="24"/>
          <w:szCs w:val="24"/>
        </w:rPr>
        <w:t>au recours n</w:t>
      </w:r>
      <w:r w:rsidR="006C47F8" w:rsidRPr="00C20656">
        <w:rPr>
          <w:rFonts w:ascii="Times New Roman" w:hAnsi="Times New Roman" w:cs="Times New Roman"/>
          <w:sz w:val="24"/>
          <w:szCs w:val="24"/>
        </w:rPr>
        <w:t xml:space="preserve">° 86/2009   du 20 juin 2012 introduit à la Chambre administrative de la Cour Suprême du </w:t>
      </w:r>
      <w:r w:rsidR="0074767F" w:rsidRPr="00C20656">
        <w:rPr>
          <w:rFonts w:ascii="Times New Roman" w:hAnsi="Times New Roman" w:cs="Times New Roman"/>
          <w:sz w:val="24"/>
          <w:szCs w:val="24"/>
        </w:rPr>
        <w:t>Cameroun</w:t>
      </w:r>
      <w:r w:rsidR="006C47F8" w:rsidRPr="00C20656">
        <w:rPr>
          <w:rFonts w:ascii="Times New Roman" w:hAnsi="Times New Roman" w:cs="Times New Roman"/>
          <w:sz w:val="24"/>
          <w:szCs w:val="24"/>
        </w:rPr>
        <w:t xml:space="preserve"> par la Collectivité </w:t>
      </w:r>
      <w:proofErr w:type="spellStart"/>
      <w:r w:rsidR="006C47F8" w:rsidRPr="00C20656">
        <w:rPr>
          <w:rFonts w:ascii="Times New Roman" w:hAnsi="Times New Roman" w:cs="Times New Roman"/>
          <w:sz w:val="24"/>
          <w:szCs w:val="24"/>
        </w:rPr>
        <w:t>Mvog</w:t>
      </w:r>
      <w:proofErr w:type="spellEnd"/>
      <w:r w:rsidR="006C47F8" w:rsidRPr="00C20656">
        <w:rPr>
          <w:rFonts w:ascii="Times New Roman" w:hAnsi="Times New Roman" w:cs="Times New Roman"/>
          <w:sz w:val="24"/>
          <w:szCs w:val="24"/>
        </w:rPr>
        <w:t xml:space="preserve"> </w:t>
      </w:r>
      <w:proofErr w:type="spellStart"/>
      <w:r w:rsidR="006C47F8" w:rsidRPr="00C20656">
        <w:rPr>
          <w:rFonts w:ascii="Times New Roman" w:hAnsi="Times New Roman" w:cs="Times New Roman"/>
          <w:sz w:val="24"/>
          <w:szCs w:val="24"/>
        </w:rPr>
        <w:t>Melingui</w:t>
      </w:r>
      <w:proofErr w:type="spellEnd"/>
      <w:r w:rsidR="006C47F8" w:rsidRPr="00C20656">
        <w:rPr>
          <w:rFonts w:ascii="Times New Roman" w:hAnsi="Times New Roman" w:cs="Times New Roman"/>
          <w:sz w:val="24"/>
          <w:szCs w:val="24"/>
        </w:rPr>
        <w:t xml:space="preserve">  contr</w:t>
      </w:r>
      <w:r w:rsidR="0074767F" w:rsidRPr="00C20656">
        <w:rPr>
          <w:rFonts w:ascii="Times New Roman" w:hAnsi="Times New Roman" w:cs="Times New Roman"/>
          <w:sz w:val="24"/>
          <w:szCs w:val="24"/>
        </w:rPr>
        <w:t xml:space="preserve">e </w:t>
      </w:r>
      <w:r w:rsidR="006C47F8" w:rsidRPr="00C20656">
        <w:rPr>
          <w:rFonts w:ascii="Times New Roman" w:hAnsi="Times New Roman" w:cs="Times New Roman"/>
          <w:sz w:val="24"/>
          <w:szCs w:val="24"/>
        </w:rPr>
        <w:t xml:space="preserve"> l’</w:t>
      </w:r>
      <w:r w:rsidR="0074767F" w:rsidRPr="00C20656">
        <w:rPr>
          <w:rFonts w:ascii="Times New Roman" w:hAnsi="Times New Roman" w:cs="Times New Roman"/>
          <w:sz w:val="24"/>
          <w:szCs w:val="24"/>
        </w:rPr>
        <w:t>État du Cameroun  représenté par le Ministre des Domaines, du Cadastre et des Affaires Foncières.</w:t>
      </w:r>
      <w:r w:rsidR="00291BD7" w:rsidRPr="00C20656">
        <w:rPr>
          <w:rFonts w:ascii="Times New Roman" w:hAnsi="Times New Roman" w:cs="Times New Roman"/>
          <w:sz w:val="24"/>
          <w:szCs w:val="24"/>
        </w:rPr>
        <w:t xml:space="preserve"> Par délibération   n° 381/48 du</w:t>
      </w:r>
      <w:r w:rsidR="006C47F8" w:rsidRPr="00C20656">
        <w:rPr>
          <w:rFonts w:ascii="Times New Roman" w:hAnsi="Times New Roman" w:cs="Times New Roman"/>
          <w:sz w:val="24"/>
          <w:szCs w:val="24"/>
        </w:rPr>
        <w:t xml:space="preserve"> 13 novembre 1948</w:t>
      </w:r>
      <w:r w:rsidR="00693824" w:rsidRPr="00C20656">
        <w:rPr>
          <w:rFonts w:ascii="Times New Roman" w:hAnsi="Times New Roman" w:cs="Times New Roman"/>
          <w:sz w:val="24"/>
          <w:szCs w:val="24"/>
        </w:rPr>
        <w:t xml:space="preserve"> l</w:t>
      </w:r>
      <w:r w:rsidR="00291BD7" w:rsidRPr="00C20656">
        <w:rPr>
          <w:rFonts w:ascii="Times New Roman" w:hAnsi="Times New Roman" w:cs="Times New Roman"/>
          <w:sz w:val="24"/>
          <w:szCs w:val="24"/>
        </w:rPr>
        <w:t xml:space="preserve">’Assemblée </w:t>
      </w:r>
      <w:r w:rsidR="00635FFD" w:rsidRPr="00C20656">
        <w:rPr>
          <w:rFonts w:ascii="Times New Roman" w:hAnsi="Times New Roman" w:cs="Times New Roman"/>
          <w:sz w:val="24"/>
          <w:szCs w:val="24"/>
        </w:rPr>
        <w:t>Représentative du</w:t>
      </w:r>
      <w:r w:rsidR="00291BD7" w:rsidRPr="00C20656">
        <w:rPr>
          <w:rFonts w:ascii="Times New Roman" w:hAnsi="Times New Roman" w:cs="Times New Roman"/>
          <w:sz w:val="24"/>
          <w:szCs w:val="24"/>
        </w:rPr>
        <w:t xml:space="preserve"> </w:t>
      </w:r>
      <w:r w:rsidR="00635FFD" w:rsidRPr="00C20656">
        <w:rPr>
          <w:rFonts w:ascii="Times New Roman" w:hAnsi="Times New Roman" w:cs="Times New Roman"/>
          <w:sz w:val="24"/>
          <w:szCs w:val="24"/>
        </w:rPr>
        <w:t>Cameroun (</w:t>
      </w:r>
      <w:r w:rsidR="00291BD7" w:rsidRPr="00C20656">
        <w:rPr>
          <w:rFonts w:ascii="Times New Roman" w:hAnsi="Times New Roman" w:cs="Times New Roman"/>
          <w:sz w:val="24"/>
          <w:szCs w:val="24"/>
        </w:rPr>
        <w:t>ARCAM)</w:t>
      </w:r>
      <w:r w:rsidR="00506DE9" w:rsidRPr="00C20656">
        <w:rPr>
          <w:rFonts w:ascii="Times New Roman" w:hAnsi="Times New Roman" w:cs="Times New Roman"/>
          <w:sz w:val="24"/>
          <w:szCs w:val="24"/>
        </w:rPr>
        <w:t xml:space="preserve"> </w:t>
      </w:r>
      <w:r w:rsidR="00693824" w:rsidRPr="00C20656">
        <w:rPr>
          <w:rFonts w:ascii="Times New Roman" w:hAnsi="Times New Roman" w:cs="Times New Roman"/>
          <w:sz w:val="24"/>
          <w:szCs w:val="24"/>
        </w:rPr>
        <w:t xml:space="preserve"> contraint la collectivité </w:t>
      </w:r>
      <w:proofErr w:type="spellStart"/>
      <w:r w:rsidR="00693824" w:rsidRPr="00C20656">
        <w:rPr>
          <w:rFonts w:ascii="Times New Roman" w:hAnsi="Times New Roman" w:cs="Times New Roman"/>
          <w:sz w:val="24"/>
          <w:szCs w:val="24"/>
        </w:rPr>
        <w:t>Mvog</w:t>
      </w:r>
      <w:proofErr w:type="spellEnd"/>
      <w:r w:rsidR="00693824" w:rsidRPr="00C20656">
        <w:rPr>
          <w:rFonts w:ascii="Times New Roman" w:hAnsi="Times New Roman" w:cs="Times New Roman"/>
          <w:sz w:val="24"/>
          <w:szCs w:val="24"/>
        </w:rPr>
        <w:t xml:space="preserve"> </w:t>
      </w:r>
      <w:proofErr w:type="spellStart"/>
      <w:r w:rsidR="00693824" w:rsidRPr="00C20656">
        <w:rPr>
          <w:rFonts w:ascii="Times New Roman" w:hAnsi="Times New Roman" w:cs="Times New Roman"/>
          <w:sz w:val="24"/>
          <w:szCs w:val="24"/>
        </w:rPr>
        <w:t>Melingui</w:t>
      </w:r>
      <w:proofErr w:type="spellEnd"/>
      <w:r w:rsidR="00693824" w:rsidRPr="00C20656">
        <w:rPr>
          <w:rFonts w:ascii="Times New Roman" w:hAnsi="Times New Roman" w:cs="Times New Roman"/>
          <w:sz w:val="24"/>
          <w:szCs w:val="24"/>
        </w:rPr>
        <w:t xml:space="preserve"> à céder pour des fins de pratique  de  l’agriculture  un espace de 201 hectares  25 ares contre la somme  </w:t>
      </w:r>
      <w:r w:rsidR="00616D70" w:rsidRPr="00C20656">
        <w:rPr>
          <w:rFonts w:ascii="Times New Roman" w:hAnsi="Times New Roman" w:cs="Times New Roman"/>
          <w:sz w:val="24"/>
          <w:szCs w:val="24"/>
        </w:rPr>
        <w:t>de 36</w:t>
      </w:r>
      <w:r w:rsidR="00F134EB" w:rsidRPr="00C20656">
        <w:rPr>
          <w:rFonts w:ascii="Times New Roman" w:hAnsi="Times New Roman" w:cs="Times New Roman"/>
          <w:sz w:val="24"/>
          <w:szCs w:val="24"/>
        </w:rPr>
        <w:t>0 000</w:t>
      </w:r>
      <w:r w:rsidR="00693824" w:rsidRPr="00C20656">
        <w:rPr>
          <w:rFonts w:ascii="Times New Roman" w:hAnsi="Times New Roman" w:cs="Times New Roman"/>
          <w:sz w:val="24"/>
          <w:szCs w:val="24"/>
        </w:rPr>
        <w:t xml:space="preserve"> </w:t>
      </w:r>
      <w:r w:rsidR="00F134EB" w:rsidRPr="00C20656">
        <w:rPr>
          <w:rFonts w:ascii="Times New Roman" w:hAnsi="Times New Roman" w:cs="Times New Roman"/>
          <w:sz w:val="24"/>
          <w:szCs w:val="24"/>
        </w:rPr>
        <w:t>Francs pour compenser les pertes  subies du faits des valeurs abandonnées  par certains de ses membres qui avaient des cultures sur le site.</w:t>
      </w:r>
      <w:r w:rsidR="008B20BE" w:rsidRPr="00C20656">
        <w:rPr>
          <w:rFonts w:ascii="Times New Roman" w:hAnsi="Times New Roman" w:cs="Times New Roman"/>
          <w:sz w:val="24"/>
          <w:szCs w:val="24"/>
        </w:rPr>
        <w:t xml:space="preserve"> Il a donc tour  à tour été  attribué  au service de l’Agriculture du Cameroun, à l’Institut Français de cacao et de café (IFCC), à l’Institut  Français  de </w:t>
      </w:r>
      <w:r w:rsidR="00693824" w:rsidRPr="00C20656">
        <w:rPr>
          <w:rFonts w:ascii="Times New Roman" w:hAnsi="Times New Roman" w:cs="Times New Roman"/>
          <w:sz w:val="24"/>
          <w:szCs w:val="24"/>
        </w:rPr>
        <w:t xml:space="preserve"> </w:t>
      </w:r>
      <w:r w:rsidR="008B20BE" w:rsidRPr="00C20656">
        <w:rPr>
          <w:rFonts w:ascii="Times New Roman" w:hAnsi="Times New Roman" w:cs="Times New Roman"/>
          <w:sz w:val="24"/>
          <w:szCs w:val="24"/>
        </w:rPr>
        <w:t xml:space="preserve">Cultures </w:t>
      </w:r>
      <w:r w:rsidR="00EC705C" w:rsidRPr="00C20656">
        <w:rPr>
          <w:rFonts w:ascii="Times New Roman" w:hAnsi="Times New Roman" w:cs="Times New Roman"/>
          <w:sz w:val="24"/>
          <w:szCs w:val="24"/>
        </w:rPr>
        <w:t>Pérennes</w:t>
      </w:r>
      <w:r w:rsidR="008B20BE" w:rsidRPr="00C20656">
        <w:rPr>
          <w:rFonts w:ascii="Times New Roman" w:hAnsi="Times New Roman" w:cs="Times New Roman"/>
          <w:sz w:val="24"/>
          <w:szCs w:val="24"/>
        </w:rPr>
        <w:t xml:space="preserve"> (IFCP)</w:t>
      </w:r>
      <w:r w:rsidR="00EC705C" w:rsidRPr="00C20656">
        <w:rPr>
          <w:rFonts w:ascii="Times New Roman" w:hAnsi="Times New Roman" w:cs="Times New Roman"/>
          <w:sz w:val="24"/>
          <w:szCs w:val="24"/>
        </w:rPr>
        <w:t>, à l’Institut  de recherche Agricole et de Textiles ( IRAT), à l’Institut de recherche Agronomique (IRA), puis à l’Institut de Recherche Agricole  pour le Développement (IRAD) depuis le décret n° 96/050  du Président de la République  en date du 12 mars 1996.</w:t>
      </w:r>
      <w:r w:rsidR="00FE0AE8" w:rsidRPr="00C20656">
        <w:rPr>
          <w:rFonts w:ascii="Times New Roman" w:hAnsi="Times New Roman" w:cs="Times New Roman"/>
          <w:sz w:val="24"/>
          <w:szCs w:val="24"/>
        </w:rPr>
        <w:t xml:space="preserve"> Une descente </w:t>
      </w:r>
      <w:r w:rsidR="00FE0AE8" w:rsidRPr="00C20656">
        <w:rPr>
          <w:rFonts w:ascii="Times New Roman" w:hAnsi="Times New Roman" w:cs="Times New Roman"/>
          <w:i/>
          <w:sz w:val="24"/>
          <w:szCs w:val="24"/>
        </w:rPr>
        <w:t xml:space="preserve">in situ </w:t>
      </w:r>
      <w:r w:rsidR="00FE0AE8" w:rsidRPr="00C20656">
        <w:rPr>
          <w:rFonts w:ascii="Times New Roman" w:hAnsi="Times New Roman" w:cs="Times New Roman"/>
          <w:sz w:val="24"/>
          <w:szCs w:val="24"/>
        </w:rPr>
        <w:t>nous a permis de constater</w:t>
      </w:r>
      <w:r w:rsidR="00A32075" w:rsidRPr="00C20656">
        <w:rPr>
          <w:rFonts w:ascii="Times New Roman" w:hAnsi="Times New Roman" w:cs="Times New Roman"/>
          <w:sz w:val="24"/>
          <w:szCs w:val="24"/>
        </w:rPr>
        <w:t xml:space="preserve">  qu’au </w:t>
      </w:r>
      <w:r w:rsidR="00A32075" w:rsidRPr="00C20656">
        <w:rPr>
          <w:rFonts w:ascii="Times New Roman" w:hAnsi="Times New Roman" w:cs="Times New Roman"/>
          <w:sz w:val="24"/>
          <w:szCs w:val="24"/>
        </w:rPr>
        <w:lastRenderedPageBreak/>
        <w:t xml:space="preserve">lieu de 201hectares 25 ares c’est  210 </w:t>
      </w:r>
      <w:r w:rsidR="001370FE" w:rsidRPr="00C20656">
        <w:rPr>
          <w:rFonts w:ascii="Times New Roman" w:hAnsi="Times New Roman" w:cs="Times New Roman"/>
          <w:sz w:val="24"/>
          <w:szCs w:val="24"/>
        </w:rPr>
        <w:t xml:space="preserve"> </w:t>
      </w:r>
      <w:r w:rsidR="004E29A6" w:rsidRPr="00C20656">
        <w:rPr>
          <w:rFonts w:ascii="Times New Roman" w:hAnsi="Times New Roman" w:cs="Times New Roman"/>
          <w:sz w:val="24"/>
          <w:szCs w:val="24"/>
        </w:rPr>
        <w:t>hectares  que les plaques indiquent  la superficie sur laquelle s’étend l’espace de l’IRAD.</w:t>
      </w:r>
      <w:r w:rsidR="005207E3" w:rsidRPr="00C20656">
        <w:rPr>
          <w:rFonts w:ascii="Times New Roman" w:hAnsi="Times New Roman" w:cs="Times New Roman"/>
          <w:sz w:val="24"/>
          <w:szCs w:val="24"/>
        </w:rPr>
        <w:t xml:space="preserve"> </w:t>
      </w:r>
      <w:r w:rsidR="00610AB5" w:rsidRPr="00C20656">
        <w:rPr>
          <w:rFonts w:ascii="Times New Roman" w:hAnsi="Times New Roman" w:cs="Times New Roman"/>
          <w:sz w:val="24"/>
          <w:szCs w:val="24"/>
        </w:rPr>
        <w:t xml:space="preserve">À l’observation ce vaste domaine  abrite des administrations qui n’ont aucun rapport avec l’Agriculture </w:t>
      </w:r>
      <w:r w:rsidR="007E3557" w:rsidRPr="00C20656">
        <w:rPr>
          <w:rFonts w:ascii="Times New Roman" w:hAnsi="Times New Roman" w:cs="Times New Roman"/>
          <w:sz w:val="24"/>
          <w:szCs w:val="24"/>
        </w:rPr>
        <w:t>Certains ex-employé</w:t>
      </w:r>
      <w:r w:rsidR="006D5005" w:rsidRPr="00C20656">
        <w:rPr>
          <w:rFonts w:ascii="Times New Roman" w:hAnsi="Times New Roman" w:cs="Times New Roman"/>
          <w:sz w:val="24"/>
          <w:szCs w:val="24"/>
        </w:rPr>
        <w:t>s de l’IRAD ont des habitations sur l’espace querellé  avec un titre foncier</w:t>
      </w:r>
      <w:r w:rsidR="004E29A6" w:rsidRPr="00C20656">
        <w:rPr>
          <w:rFonts w:ascii="Times New Roman" w:hAnsi="Times New Roman" w:cs="Times New Roman"/>
          <w:sz w:val="24"/>
          <w:szCs w:val="24"/>
        </w:rPr>
        <w:t xml:space="preserve"> Et l’informateur</w:t>
      </w:r>
      <w:r w:rsidR="007E3557" w:rsidRPr="00C20656">
        <w:rPr>
          <w:rFonts w:ascii="Times New Roman" w:hAnsi="Times New Roman" w:cs="Times New Roman"/>
          <w:sz w:val="24"/>
          <w:szCs w:val="24"/>
        </w:rPr>
        <w:t>,</w:t>
      </w:r>
      <w:r w:rsidR="004E29A6" w:rsidRPr="00C20656">
        <w:rPr>
          <w:rFonts w:ascii="Times New Roman" w:hAnsi="Times New Roman" w:cs="Times New Roman"/>
          <w:sz w:val="24"/>
          <w:szCs w:val="24"/>
        </w:rPr>
        <w:t xml:space="preserve">  </w:t>
      </w:r>
      <w:r w:rsidR="007E3557" w:rsidRPr="00C20656">
        <w:rPr>
          <w:rFonts w:ascii="Times New Roman" w:hAnsi="Times New Roman" w:cs="Times New Roman"/>
          <w:sz w:val="24"/>
          <w:szCs w:val="24"/>
        </w:rPr>
        <w:t>le</w:t>
      </w:r>
      <w:r w:rsidR="004E29A6" w:rsidRPr="00C20656">
        <w:rPr>
          <w:rFonts w:ascii="Times New Roman" w:hAnsi="Times New Roman" w:cs="Times New Roman"/>
          <w:sz w:val="24"/>
          <w:szCs w:val="24"/>
        </w:rPr>
        <w:t xml:space="preserve"> nonagénaire  à la genèse de </w:t>
      </w:r>
      <w:r w:rsidR="007E3557" w:rsidRPr="00C20656">
        <w:rPr>
          <w:rFonts w:ascii="Times New Roman" w:hAnsi="Times New Roman" w:cs="Times New Roman"/>
          <w:sz w:val="24"/>
          <w:szCs w:val="24"/>
        </w:rPr>
        <w:t xml:space="preserve"> ce litige ,</w:t>
      </w:r>
      <w:r w:rsidR="00FA08DF" w:rsidRPr="00C20656">
        <w:rPr>
          <w:rFonts w:ascii="Times New Roman" w:hAnsi="Times New Roman" w:cs="Times New Roman"/>
          <w:sz w:val="24"/>
          <w:szCs w:val="24"/>
        </w:rPr>
        <w:t xml:space="preserve"> explique  que  c’est sa situation d’errance  sans village  qui l’a contraint à </w:t>
      </w:r>
      <w:r w:rsidR="00A56827" w:rsidRPr="00C20656">
        <w:rPr>
          <w:rFonts w:ascii="Times New Roman" w:hAnsi="Times New Roman" w:cs="Times New Roman"/>
          <w:sz w:val="24"/>
          <w:szCs w:val="24"/>
        </w:rPr>
        <w:t xml:space="preserve"> relire à  toute la législation foncière. Et il </w:t>
      </w:r>
      <w:r w:rsidR="00487645" w:rsidRPr="00C20656">
        <w:rPr>
          <w:rFonts w:ascii="Times New Roman" w:hAnsi="Times New Roman" w:cs="Times New Roman"/>
          <w:sz w:val="24"/>
          <w:szCs w:val="24"/>
        </w:rPr>
        <w:t>affirme avoir attendu  la loi n° 85-09 du 04 juillet 1985</w:t>
      </w:r>
      <w:r w:rsidR="000E6AE5" w:rsidRPr="00C20656">
        <w:rPr>
          <w:rFonts w:ascii="Times New Roman" w:hAnsi="Times New Roman" w:cs="Times New Roman"/>
          <w:sz w:val="24"/>
          <w:szCs w:val="24"/>
        </w:rPr>
        <w:t xml:space="preserve"> et surtout son décret d’application  n°87/1/1872 du 18 décembre 1987 pour mettre en branle les démarches en vue  de la rétrocession d’une partie de son patrimoine foncier. En effet l’article 13 -1) du décret </w:t>
      </w:r>
      <w:proofErr w:type="spellStart"/>
      <w:r w:rsidR="000E6AE5" w:rsidRPr="00C20656">
        <w:rPr>
          <w:rFonts w:ascii="Times New Roman" w:hAnsi="Times New Roman" w:cs="Times New Roman"/>
          <w:sz w:val="24"/>
          <w:szCs w:val="24"/>
        </w:rPr>
        <w:t>sus mentionné</w:t>
      </w:r>
      <w:proofErr w:type="spellEnd"/>
      <w:r w:rsidR="000E6AE5" w:rsidRPr="00C20656">
        <w:rPr>
          <w:rFonts w:ascii="Times New Roman" w:hAnsi="Times New Roman" w:cs="Times New Roman"/>
          <w:sz w:val="24"/>
          <w:szCs w:val="24"/>
        </w:rPr>
        <w:t xml:space="preserve">  di</w:t>
      </w:r>
      <w:r w:rsidR="00616D70" w:rsidRPr="00C20656">
        <w:rPr>
          <w:rFonts w:ascii="Times New Roman" w:hAnsi="Times New Roman" w:cs="Times New Roman"/>
          <w:sz w:val="24"/>
          <w:szCs w:val="24"/>
        </w:rPr>
        <w:t>s</w:t>
      </w:r>
      <w:r w:rsidR="000E6AE5" w:rsidRPr="00C20656">
        <w:rPr>
          <w:rFonts w:ascii="Times New Roman" w:hAnsi="Times New Roman" w:cs="Times New Roman"/>
          <w:sz w:val="24"/>
          <w:szCs w:val="24"/>
        </w:rPr>
        <w:t>pose notamment : » l’</w:t>
      </w:r>
      <w:r w:rsidR="00616D70" w:rsidRPr="00C20656">
        <w:rPr>
          <w:rFonts w:ascii="Times New Roman" w:hAnsi="Times New Roman" w:cs="Times New Roman"/>
          <w:sz w:val="24"/>
          <w:szCs w:val="24"/>
        </w:rPr>
        <w:t>arrêté</w:t>
      </w:r>
      <w:r w:rsidR="000E6AE5" w:rsidRPr="00C20656">
        <w:rPr>
          <w:rFonts w:ascii="Times New Roman" w:hAnsi="Times New Roman" w:cs="Times New Roman"/>
          <w:sz w:val="24"/>
          <w:szCs w:val="24"/>
        </w:rPr>
        <w:t xml:space="preserve"> de déclaration d’utilité publique  devient </w:t>
      </w:r>
      <w:r w:rsidR="006624DB" w:rsidRPr="00C20656">
        <w:rPr>
          <w:rFonts w:ascii="Times New Roman" w:hAnsi="Times New Roman" w:cs="Times New Roman"/>
          <w:sz w:val="24"/>
          <w:szCs w:val="24"/>
        </w:rPr>
        <w:t>caduc,</w:t>
      </w:r>
      <w:r w:rsidR="000E6AE5" w:rsidRPr="00C20656">
        <w:rPr>
          <w:rFonts w:ascii="Times New Roman" w:hAnsi="Times New Roman" w:cs="Times New Roman"/>
          <w:sz w:val="24"/>
          <w:szCs w:val="24"/>
        </w:rPr>
        <w:t xml:space="preserve"> si dans un </w:t>
      </w:r>
      <w:r w:rsidR="00616D70" w:rsidRPr="00C20656">
        <w:rPr>
          <w:rFonts w:ascii="Times New Roman" w:hAnsi="Times New Roman" w:cs="Times New Roman"/>
          <w:sz w:val="24"/>
          <w:szCs w:val="24"/>
        </w:rPr>
        <w:t>délai</w:t>
      </w:r>
      <w:r w:rsidR="000E6AE5" w:rsidRPr="00C20656">
        <w:rPr>
          <w:rFonts w:ascii="Times New Roman" w:hAnsi="Times New Roman" w:cs="Times New Roman"/>
          <w:sz w:val="24"/>
          <w:szCs w:val="24"/>
        </w:rPr>
        <w:t xml:space="preserve"> de 2 (deux) ans  à compter  de sa date de notification  au service ou organisme </w:t>
      </w:r>
      <w:r w:rsidR="006624DB" w:rsidRPr="00C20656">
        <w:rPr>
          <w:rFonts w:ascii="Times New Roman" w:hAnsi="Times New Roman" w:cs="Times New Roman"/>
          <w:sz w:val="24"/>
          <w:szCs w:val="24"/>
        </w:rPr>
        <w:t>bénéficiaire,</w:t>
      </w:r>
      <w:r w:rsidR="000E6AE5" w:rsidRPr="00C20656">
        <w:rPr>
          <w:rFonts w:ascii="Times New Roman" w:hAnsi="Times New Roman" w:cs="Times New Roman"/>
          <w:sz w:val="24"/>
          <w:szCs w:val="24"/>
        </w:rPr>
        <w:t xml:space="preserve"> il n’est pas suivi d’expropriation  effective »</w:t>
      </w:r>
      <w:r w:rsidR="00616D70" w:rsidRPr="00C20656">
        <w:rPr>
          <w:rFonts w:ascii="Times New Roman" w:hAnsi="Times New Roman" w:cs="Times New Roman"/>
          <w:sz w:val="24"/>
          <w:szCs w:val="24"/>
        </w:rPr>
        <w:t>. Et l’alinéa 3 du même article   précise en outre que : « les arrêtés de déclaration d’utilité publique  en  vigueur  à la date  de publication du présent décret  resteront en vigueur  pendant une période de  deux ans  non susceptible de prorogation »</w:t>
      </w:r>
      <w:r w:rsidR="00511E8F" w:rsidRPr="00C20656">
        <w:rPr>
          <w:rFonts w:ascii="Times New Roman" w:hAnsi="Times New Roman" w:cs="Times New Roman"/>
          <w:sz w:val="24"/>
          <w:szCs w:val="24"/>
        </w:rPr>
        <w:t>. L’informateur affirme qu’en</w:t>
      </w:r>
      <w:r w:rsidR="00CC544A" w:rsidRPr="00C20656">
        <w:rPr>
          <w:rFonts w:ascii="Times New Roman" w:hAnsi="Times New Roman" w:cs="Times New Roman"/>
          <w:sz w:val="24"/>
          <w:szCs w:val="24"/>
        </w:rPr>
        <w:t xml:space="preserve"> </w:t>
      </w:r>
      <w:r w:rsidR="00511E8F" w:rsidRPr="00C20656">
        <w:rPr>
          <w:rFonts w:ascii="Times New Roman" w:hAnsi="Times New Roman" w:cs="Times New Roman"/>
          <w:sz w:val="24"/>
          <w:szCs w:val="24"/>
        </w:rPr>
        <w:t xml:space="preserve">date du 18 décembre 1989 </w:t>
      </w:r>
      <w:r w:rsidR="00CC544A" w:rsidRPr="00C20656">
        <w:rPr>
          <w:rFonts w:ascii="Times New Roman" w:hAnsi="Times New Roman" w:cs="Times New Roman"/>
          <w:sz w:val="24"/>
          <w:szCs w:val="24"/>
        </w:rPr>
        <w:t xml:space="preserve"> 21 hectares dudit espace restaient inoccupés et inexploités.</w:t>
      </w:r>
      <w:r w:rsidR="00BB35FD" w:rsidRPr="00C20656">
        <w:rPr>
          <w:rFonts w:ascii="Times New Roman" w:hAnsi="Times New Roman" w:cs="Times New Roman"/>
          <w:sz w:val="24"/>
          <w:szCs w:val="24"/>
        </w:rPr>
        <w:t xml:space="preserve"> Bien plus, la col</w:t>
      </w:r>
      <w:r w:rsidR="004E185D" w:rsidRPr="00C20656">
        <w:rPr>
          <w:rFonts w:ascii="Times New Roman" w:hAnsi="Times New Roman" w:cs="Times New Roman"/>
          <w:sz w:val="24"/>
          <w:szCs w:val="24"/>
        </w:rPr>
        <w:t xml:space="preserve">lectivité </w:t>
      </w:r>
      <w:proofErr w:type="spellStart"/>
      <w:r w:rsidR="004E185D" w:rsidRPr="00C20656">
        <w:rPr>
          <w:rFonts w:ascii="Times New Roman" w:hAnsi="Times New Roman" w:cs="Times New Roman"/>
          <w:sz w:val="24"/>
          <w:szCs w:val="24"/>
        </w:rPr>
        <w:t>Mog</w:t>
      </w:r>
      <w:proofErr w:type="spellEnd"/>
      <w:r w:rsidR="004E185D" w:rsidRPr="00C20656">
        <w:rPr>
          <w:rFonts w:ascii="Times New Roman" w:hAnsi="Times New Roman" w:cs="Times New Roman"/>
          <w:sz w:val="24"/>
          <w:szCs w:val="24"/>
        </w:rPr>
        <w:t xml:space="preserve"> </w:t>
      </w:r>
      <w:proofErr w:type="spellStart"/>
      <w:r w:rsidR="004E185D" w:rsidRPr="00C20656">
        <w:rPr>
          <w:rFonts w:ascii="Times New Roman" w:hAnsi="Times New Roman" w:cs="Times New Roman"/>
          <w:sz w:val="24"/>
          <w:szCs w:val="24"/>
        </w:rPr>
        <w:t>Melingui</w:t>
      </w:r>
      <w:proofErr w:type="spellEnd"/>
      <w:r w:rsidR="004E185D" w:rsidRPr="00C20656">
        <w:rPr>
          <w:rFonts w:ascii="Times New Roman" w:hAnsi="Times New Roman" w:cs="Times New Roman"/>
          <w:sz w:val="24"/>
          <w:szCs w:val="24"/>
        </w:rPr>
        <w:t xml:space="preserve">  n’avait </w:t>
      </w:r>
      <w:r w:rsidR="00BB35FD" w:rsidRPr="00C20656">
        <w:rPr>
          <w:rFonts w:ascii="Times New Roman" w:hAnsi="Times New Roman" w:cs="Times New Roman"/>
          <w:sz w:val="24"/>
          <w:szCs w:val="24"/>
        </w:rPr>
        <w:t xml:space="preserve">jusqu’à date reçu les 360 000 FCFA  des frais d’indemnisation octroyés par la déclaration d’utilité publique  du  13 novembre 1948.  Ainsi, notre  informateur  pouvait compte tenu de ces   différentes entorses à la loi considérer </w:t>
      </w:r>
      <w:r w:rsidR="00387FE5" w:rsidRPr="00C20656">
        <w:rPr>
          <w:rFonts w:ascii="Times New Roman" w:hAnsi="Times New Roman" w:cs="Times New Roman"/>
          <w:sz w:val="24"/>
          <w:szCs w:val="24"/>
        </w:rPr>
        <w:t>que la parcelle de 21 hectares 97 ares et 12 centiares  était frappée de caducité  dès le 19/12/ 1989 conformément à l’alinéa 3 de l’article 13  su du décret d’application  n°87/1/1872 du 18 décembre 1987.Sa collectivité</w:t>
      </w:r>
      <w:r w:rsidR="005D1D5F" w:rsidRPr="00C20656">
        <w:rPr>
          <w:rFonts w:ascii="Times New Roman" w:hAnsi="Times New Roman" w:cs="Times New Roman"/>
          <w:sz w:val="24"/>
          <w:szCs w:val="24"/>
        </w:rPr>
        <w:t>,</w:t>
      </w:r>
      <w:r w:rsidR="00387FE5" w:rsidRPr="00C20656">
        <w:rPr>
          <w:rFonts w:ascii="Times New Roman" w:hAnsi="Times New Roman" w:cs="Times New Roman"/>
          <w:sz w:val="24"/>
          <w:szCs w:val="24"/>
        </w:rPr>
        <w:t xml:space="preserve"> con</w:t>
      </w:r>
      <w:r w:rsidR="005D1D5F" w:rsidRPr="00C20656">
        <w:rPr>
          <w:rFonts w:ascii="Times New Roman" w:hAnsi="Times New Roman" w:cs="Times New Roman"/>
          <w:sz w:val="24"/>
          <w:szCs w:val="24"/>
        </w:rPr>
        <w:t>t</w:t>
      </w:r>
      <w:r w:rsidR="00387FE5" w:rsidRPr="00C20656">
        <w:rPr>
          <w:rFonts w:ascii="Times New Roman" w:hAnsi="Times New Roman" w:cs="Times New Roman"/>
          <w:sz w:val="24"/>
          <w:szCs w:val="24"/>
        </w:rPr>
        <w:t>rainte à l’errance et ne disposant plus de village</w:t>
      </w:r>
      <w:r w:rsidR="005D1D5F" w:rsidRPr="00C20656">
        <w:rPr>
          <w:rFonts w:ascii="Times New Roman" w:hAnsi="Times New Roman" w:cs="Times New Roman"/>
          <w:sz w:val="24"/>
          <w:szCs w:val="24"/>
        </w:rPr>
        <w:t>,</w:t>
      </w:r>
      <w:r w:rsidR="00387FE5" w:rsidRPr="00C20656">
        <w:rPr>
          <w:rFonts w:ascii="Times New Roman" w:hAnsi="Times New Roman" w:cs="Times New Roman"/>
          <w:sz w:val="24"/>
          <w:szCs w:val="24"/>
        </w:rPr>
        <w:t xml:space="preserve">   décida dès l’année 1990  de réinvestir la partie restante du site  d’une contenance de 21 hectares 97 ares  et 12 centiares et  de solliciter  le 12 </w:t>
      </w:r>
      <w:r w:rsidR="005D1D5F" w:rsidRPr="00C20656">
        <w:rPr>
          <w:rFonts w:ascii="Times New Roman" w:hAnsi="Times New Roman" w:cs="Times New Roman"/>
          <w:sz w:val="24"/>
          <w:szCs w:val="24"/>
        </w:rPr>
        <w:t>octobre</w:t>
      </w:r>
      <w:r w:rsidR="00387FE5" w:rsidRPr="00C20656">
        <w:rPr>
          <w:rFonts w:ascii="Times New Roman" w:hAnsi="Times New Roman" w:cs="Times New Roman"/>
          <w:sz w:val="24"/>
          <w:szCs w:val="24"/>
        </w:rPr>
        <w:t xml:space="preserve">  1999 son immatriculation  auprès des services compétents.</w:t>
      </w:r>
    </w:p>
    <w:p w:rsidR="00387FE5" w:rsidRPr="00C20656" w:rsidRDefault="00387FE5"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Pour le second cas </w:t>
      </w:r>
      <w:r w:rsidR="003B4F04" w:rsidRPr="00C20656">
        <w:rPr>
          <w:rFonts w:ascii="Times New Roman" w:hAnsi="Times New Roman" w:cs="Times New Roman"/>
          <w:sz w:val="24"/>
          <w:szCs w:val="24"/>
        </w:rPr>
        <w:t>celui de Douala</w:t>
      </w:r>
      <w:r w:rsidR="00F052DC" w:rsidRPr="00C20656">
        <w:rPr>
          <w:rFonts w:ascii="Times New Roman" w:hAnsi="Times New Roman" w:cs="Times New Roman"/>
          <w:sz w:val="24"/>
          <w:szCs w:val="24"/>
        </w:rPr>
        <w:t xml:space="preserve"> </w:t>
      </w:r>
      <w:r w:rsidR="00D73FD3" w:rsidRPr="00C20656">
        <w:rPr>
          <w:rFonts w:ascii="Times New Roman" w:hAnsi="Times New Roman" w:cs="Times New Roman"/>
          <w:sz w:val="24"/>
          <w:szCs w:val="24"/>
        </w:rPr>
        <w:t>précisément</w:t>
      </w:r>
      <w:r w:rsidR="00F052DC" w:rsidRPr="00C20656">
        <w:rPr>
          <w:rFonts w:ascii="Times New Roman" w:hAnsi="Times New Roman" w:cs="Times New Roman"/>
          <w:sz w:val="24"/>
          <w:szCs w:val="24"/>
        </w:rPr>
        <w:t xml:space="preserve"> à </w:t>
      </w:r>
      <w:proofErr w:type="spellStart"/>
      <w:r w:rsidR="00F052DC" w:rsidRPr="00C20656">
        <w:rPr>
          <w:rFonts w:ascii="Times New Roman" w:hAnsi="Times New Roman" w:cs="Times New Roman"/>
          <w:sz w:val="24"/>
          <w:szCs w:val="24"/>
        </w:rPr>
        <w:t>Bomono</w:t>
      </w:r>
      <w:proofErr w:type="spellEnd"/>
      <w:r w:rsidR="00F2688D" w:rsidRPr="00C20656">
        <w:rPr>
          <w:rFonts w:ascii="Times New Roman" w:hAnsi="Times New Roman" w:cs="Times New Roman"/>
          <w:sz w:val="24"/>
          <w:szCs w:val="24"/>
        </w:rPr>
        <w:t xml:space="preserve"> le litige </w:t>
      </w:r>
      <w:r w:rsidR="003B4F04" w:rsidRPr="00C20656">
        <w:rPr>
          <w:rFonts w:ascii="Times New Roman" w:hAnsi="Times New Roman" w:cs="Times New Roman"/>
          <w:sz w:val="24"/>
          <w:szCs w:val="24"/>
        </w:rPr>
        <w:t xml:space="preserve"> </w:t>
      </w:r>
      <w:r w:rsidR="00D903AE" w:rsidRPr="00C20656">
        <w:rPr>
          <w:rFonts w:ascii="Times New Roman" w:hAnsi="Times New Roman" w:cs="Times New Roman"/>
          <w:sz w:val="24"/>
          <w:szCs w:val="24"/>
        </w:rPr>
        <w:t xml:space="preserve"> </w:t>
      </w:r>
      <w:r w:rsidR="00850EB6" w:rsidRPr="00C20656">
        <w:rPr>
          <w:rFonts w:ascii="Times New Roman" w:hAnsi="Times New Roman" w:cs="Times New Roman"/>
          <w:sz w:val="24"/>
          <w:szCs w:val="24"/>
        </w:rPr>
        <w:t>s’origine dans une conven</w:t>
      </w:r>
      <w:r w:rsidR="0048730B" w:rsidRPr="00C20656">
        <w:rPr>
          <w:rFonts w:ascii="Times New Roman" w:hAnsi="Times New Roman" w:cs="Times New Roman"/>
          <w:sz w:val="24"/>
          <w:szCs w:val="24"/>
        </w:rPr>
        <w:t xml:space="preserve">tion qui eut lieu  en </w:t>
      </w:r>
      <w:r w:rsidR="00850EB6" w:rsidRPr="00C20656">
        <w:rPr>
          <w:rFonts w:ascii="Times New Roman" w:hAnsi="Times New Roman" w:cs="Times New Roman"/>
          <w:sz w:val="24"/>
          <w:szCs w:val="24"/>
        </w:rPr>
        <w:t xml:space="preserve"> février </w:t>
      </w:r>
      <w:r w:rsidR="0048730B" w:rsidRPr="00C20656">
        <w:rPr>
          <w:rFonts w:ascii="Times New Roman" w:hAnsi="Times New Roman" w:cs="Times New Roman"/>
          <w:sz w:val="24"/>
          <w:szCs w:val="24"/>
        </w:rPr>
        <w:t>1956  entre le Directeur  d’un organisme colonial d’exploitation</w:t>
      </w:r>
      <w:r w:rsidR="00850EB6" w:rsidRPr="00C20656">
        <w:rPr>
          <w:rFonts w:ascii="Times New Roman" w:hAnsi="Times New Roman" w:cs="Times New Roman"/>
          <w:sz w:val="24"/>
          <w:szCs w:val="24"/>
        </w:rPr>
        <w:t>, le secteur  de la modernisation  agricole des palmeraies</w:t>
      </w:r>
      <w:r w:rsidR="0048730B" w:rsidRPr="00C20656">
        <w:rPr>
          <w:rFonts w:ascii="Times New Roman" w:hAnsi="Times New Roman" w:cs="Times New Roman"/>
          <w:sz w:val="24"/>
          <w:szCs w:val="24"/>
        </w:rPr>
        <w:t xml:space="preserve"> et</w:t>
      </w:r>
      <w:r w:rsidR="00850EB6" w:rsidRPr="00C20656">
        <w:rPr>
          <w:rFonts w:ascii="Times New Roman" w:hAnsi="Times New Roman" w:cs="Times New Roman"/>
          <w:sz w:val="24"/>
          <w:szCs w:val="24"/>
        </w:rPr>
        <w:t xml:space="preserve"> le  chef de</w:t>
      </w:r>
      <w:r w:rsidR="0048730B" w:rsidRPr="00C20656">
        <w:rPr>
          <w:rFonts w:ascii="Times New Roman" w:hAnsi="Times New Roman" w:cs="Times New Roman"/>
          <w:sz w:val="24"/>
          <w:szCs w:val="24"/>
        </w:rPr>
        <w:t xml:space="preserve"> la communauté  des natifs de </w:t>
      </w:r>
      <w:proofErr w:type="spellStart"/>
      <w:r w:rsidR="0048730B" w:rsidRPr="00C20656">
        <w:rPr>
          <w:rFonts w:ascii="Times New Roman" w:hAnsi="Times New Roman" w:cs="Times New Roman"/>
          <w:sz w:val="24"/>
          <w:szCs w:val="24"/>
        </w:rPr>
        <w:t>Bo</w:t>
      </w:r>
      <w:r w:rsidR="00F052DC" w:rsidRPr="00C20656">
        <w:rPr>
          <w:rFonts w:ascii="Times New Roman" w:hAnsi="Times New Roman" w:cs="Times New Roman"/>
          <w:sz w:val="24"/>
          <w:szCs w:val="24"/>
        </w:rPr>
        <w:t>nelombo</w:t>
      </w:r>
      <w:proofErr w:type="spellEnd"/>
      <w:r w:rsidR="00850EB6" w:rsidRPr="00C20656">
        <w:rPr>
          <w:rFonts w:ascii="Times New Roman" w:hAnsi="Times New Roman" w:cs="Times New Roman"/>
          <w:sz w:val="24"/>
          <w:szCs w:val="24"/>
        </w:rPr>
        <w:t xml:space="preserve">. Les </w:t>
      </w:r>
      <w:proofErr w:type="spellStart"/>
      <w:r w:rsidR="00850EB6" w:rsidRPr="00C20656">
        <w:rPr>
          <w:rFonts w:ascii="Times New Roman" w:hAnsi="Times New Roman" w:cs="Times New Roman"/>
          <w:sz w:val="24"/>
          <w:szCs w:val="24"/>
        </w:rPr>
        <w:t>Bonelombo</w:t>
      </w:r>
      <w:proofErr w:type="spellEnd"/>
      <w:r w:rsidR="00850EB6" w:rsidRPr="00C20656">
        <w:rPr>
          <w:rFonts w:ascii="Times New Roman" w:hAnsi="Times New Roman" w:cs="Times New Roman"/>
          <w:sz w:val="24"/>
          <w:szCs w:val="24"/>
        </w:rPr>
        <w:t xml:space="preserve">  ‘’s’engageaient à pratiquer </w:t>
      </w:r>
      <w:r w:rsidR="00F052DC" w:rsidRPr="00C20656">
        <w:rPr>
          <w:rFonts w:ascii="Times New Roman" w:hAnsi="Times New Roman" w:cs="Times New Roman"/>
          <w:sz w:val="24"/>
          <w:szCs w:val="24"/>
        </w:rPr>
        <w:t xml:space="preserve"> </w:t>
      </w:r>
      <w:r w:rsidR="00850EB6" w:rsidRPr="00C20656">
        <w:rPr>
          <w:rFonts w:ascii="Times New Roman" w:hAnsi="Times New Roman" w:cs="Times New Roman"/>
          <w:sz w:val="24"/>
          <w:szCs w:val="24"/>
        </w:rPr>
        <w:t xml:space="preserve"> la culture du palmier</w:t>
      </w:r>
      <w:r w:rsidR="0048730B" w:rsidRPr="00C20656">
        <w:rPr>
          <w:rFonts w:ascii="Times New Roman" w:hAnsi="Times New Roman" w:cs="Times New Roman"/>
          <w:sz w:val="24"/>
          <w:szCs w:val="24"/>
        </w:rPr>
        <w:t xml:space="preserve"> </w:t>
      </w:r>
      <w:r w:rsidR="00F052DC" w:rsidRPr="00C20656">
        <w:rPr>
          <w:rFonts w:ascii="Times New Roman" w:hAnsi="Times New Roman" w:cs="Times New Roman"/>
          <w:sz w:val="24"/>
          <w:szCs w:val="24"/>
        </w:rPr>
        <w:t>à</w:t>
      </w:r>
      <w:r w:rsidR="0048730B" w:rsidRPr="00C20656">
        <w:rPr>
          <w:rFonts w:ascii="Times New Roman" w:hAnsi="Times New Roman" w:cs="Times New Roman"/>
          <w:sz w:val="24"/>
          <w:szCs w:val="24"/>
        </w:rPr>
        <w:t xml:space="preserve"> hu</w:t>
      </w:r>
      <w:r w:rsidR="00850EB6" w:rsidRPr="00C20656">
        <w:rPr>
          <w:rFonts w:ascii="Times New Roman" w:hAnsi="Times New Roman" w:cs="Times New Roman"/>
          <w:sz w:val="24"/>
          <w:szCs w:val="24"/>
        </w:rPr>
        <w:t xml:space="preserve">ile sur  un </w:t>
      </w:r>
      <w:r w:rsidR="00F052DC" w:rsidRPr="00C20656">
        <w:rPr>
          <w:rFonts w:ascii="Times New Roman" w:hAnsi="Times New Roman" w:cs="Times New Roman"/>
          <w:sz w:val="24"/>
          <w:szCs w:val="24"/>
        </w:rPr>
        <w:t>espace de 207 hectares</w:t>
      </w:r>
      <w:r w:rsidR="00850EB6" w:rsidRPr="00C20656">
        <w:rPr>
          <w:rFonts w:ascii="Times New Roman" w:hAnsi="Times New Roman" w:cs="Times New Roman"/>
          <w:sz w:val="24"/>
          <w:szCs w:val="24"/>
        </w:rPr>
        <w:t>’’</w:t>
      </w:r>
      <w:r w:rsidR="00F052DC" w:rsidRPr="00C20656">
        <w:rPr>
          <w:rFonts w:ascii="Times New Roman" w:hAnsi="Times New Roman" w:cs="Times New Roman"/>
          <w:sz w:val="24"/>
          <w:szCs w:val="24"/>
        </w:rPr>
        <w:t>.</w:t>
      </w:r>
      <w:r w:rsidR="003458EF" w:rsidRPr="00C20656">
        <w:rPr>
          <w:rFonts w:ascii="Times New Roman" w:hAnsi="Times New Roman" w:cs="Times New Roman"/>
          <w:sz w:val="24"/>
          <w:szCs w:val="24"/>
        </w:rPr>
        <w:t xml:space="preserve">  Ce</w:t>
      </w:r>
      <w:r w:rsidR="002A6EC5" w:rsidRPr="00C20656">
        <w:rPr>
          <w:rFonts w:ascii="Times New Roman" w:hAnsi="Times New Roman" w:cs="Times New Roman"/>
          <w:sz w:val="24"/>
          <w:szCs w:val="24"/>
        </w:rPr>
        <w:t>t engagement  n</w:t>
      </w:r>
      <w:r w:rsidR="00A96E83" w:rsidRPr="00C20656">
        <w:rPr>
          <w:rFonts w:ascii="Times New Roman" w:hAnsi="Times New Roman" w:cs="Times New Roman"/>
          <w:sz w:val="24"/>
          <w:szCs w:val="24"/>
        </w:rPr>
        <w:t>e donna</w:t>
      </w:r>
      <w:r w:rsidR="002A6EC5" w:rsidRPr="00C20656">
        <w:rPr>
          <w:rFonts w:ascii="Times New Roman" w:hAnsi="Times New Roman" w:cs="Times New Roman"/>
          <w:sz w:val="24"/>
          <w:szCs w:val="24"/>
        </w:rPr>
        <w:t xml:space="preserve"> lieu à aucune transaction  et  l’actuelle  Société Camerounaise de Palmeraies ( SOCAPALM)  s’</w:t>
      </w:r>
      <w:r w:rsidR="0002392A" w:rsidRPr="00C20656">
        <w:rPr>
          <w:rFonts w:ascii="Times New Roman" w:hAnsi="Times New Roman" w:cs="Times New Roman"/>
          <w:sz w:val="24"/>
          <w:szCs w:val="24"/>
        </w:rPr>
        <w:t>est constituée  autour  du secteur  de la modernisation  agricole des palmeraies. Ainsi,  ce sont 207 hectares</w:t>
      </w:r>
      <w:r w:rsidR="00E342E8" w:rsidRPr="00C20656">
        <w:rPr>
          <w:rFonts w:ascii="Times New Roman" w:hAnsi="Times New Roman" w:cs="Times New Roman"/>
          <w:sz w:val="24"/>
          <w:szCs w:val="24"/>
        </w:rPr>
        <w:t xml:space="preserve"> de palmeraies qui s’étendent à perte de </w:t>
      </w:r>
      <w:proofErr w:type="gramStart"/>
      <w:r w:rsidR="00E342E8" w:rsidRPr="00C20656">
        <w:rPr>
          <w:rFonts w:ascii="Times New Roman" w:hAnsi="Times New Roman" w:cs="Times New Roman"/>
          <w:sz w:val="24"/>
          <w:szCs w:val="24"/>
        </w:rPr>
        <w:t xml:space="preserve">vue </w:t>
      </w:r>
      <w:r w:rsidR="0041040A" w:rsidRPr="00C20656">
        <w:rPr>
          <w:rFonts w:ascii="Times New Roman" w:hAnsi="Times New Roman" w:cs="Times New Roman"/>
          <w:sz w:val="24"/>
          <w:szCs w:val="24"/>
        </w:rPr>
        <w:t>,</w:t>
      </w:r>
      <w:proofErr w:type="gramEnd"/>
      <w:r w:rsidR="001B6243" w:rsidRPr="00C20656">
        <w:rPr>
          <w:rFonts w:ascii="Times New Roman" w:hAnsi="Times New Roman" w:cs="Times New Roman"/>
          <w:sz w:val="24"/>
          <w:szCs w:val="24"/>
        </w:rPr>
        <w:t xml:space="preserve"> qui appartiennent à  la SOCAPALM doté</w:t>
      </w:r>
      <w:r w:rsidR="00A96E83" w:rsidRPr="00C20656">
        <w:rPr>
          <w:rFonts w:ascii="Times New Roman" w:hAnsi="Times New Roman" w:cs="Times New Roman"/>
          <w:sz w:val="24"/>
          <w:szCs w:val="24"/>
        </w:rPr>
        <w:t>e</w:t>
      </w:r>
      <w:r w:rsidR="001B6243" w:rsidRPr="00C20656">
        <w:rPr>
          <w:rFonts w:ascii="Times New Roman" w:hAnsi="Times New Roman" w:cs="Times New Roman"/>
          <w:sz w:val="24"/>
          <w:szCs w:val="24"/>
        </w:rPr>
        <w:t xml:space="preserve"> désormais d’un titre foncier</w:t>
      </w:r>
      <w:r w:rsidR="0002392A" w:rsidRPr="00C20656">
        <w:rPr>
          <w:rFonts w:ascii="Times New Roman" w:hAnsi="Times New Roman" w:cs="Times New Roman"/>
          <w:sz w:val="24"/>
          <w:szCs w:val="24"/>
        </w:rPr>
        <w:t xml:space="preserve">  </w:t>
      </w:r>
      <w:r w:rsidR="001B6243" w:rsidRPr="00C20656">
        <w:rPr>
          <w:rFonts w:ascii="Times New Roman" w:hAnsi="Times New Roman" w:cs="Times New Roman"/>
          <w:sz w:val="24"/>
          <w:szCs w:val="24"/>
        </w:rPr>
        <w:t xml:space="preserve"> </w:t>
      </w:r>
      <w:r w:rsidR="0041040A" w:rsidRPr="00C20656">
        <w:rPr>
          <w:rFonts w:ascii="Times New Roman" w:hAnsi="Times New Roman" w:cs="Times New Roman"/>
          <w:sz w:val="24"/>
          <w:szCs w:val="24"/>
        </w:rPr>
        <w:t xml:space="preserve">et qui constituent l’apport en capital  </w:t>
      </w:r>
      <w:r w:rsidR="001B6243" w:rsidRPr="00C20656">
        <w:rPr>
          <w:rFonts w:ascii="Times New Roman" w:hAnsi="Times New Roman" w:cs="Times New Roman"/>
          <w:sz w:val="24"/>
          <w:szCs w:val="24"/>
        </w:rPr>
        <w:t xml:space="preserve"> de l’État</w:t>
      </w:r>
      <w:r w:rsidR="0041040A" w:rsidRPr="00C20656">
        <w:rPr>
          <w:rFonts w:ascii="Times New Roman" w:hAnsi="Times New Roman" w:cs="Times New Roman"/>
          <w:sz w:val="24"/>
          <w:szCs w:val="24"/>
        </w:rPr>
        <w:t xml:space="preserve"> devenu </w:t>
      </w:r>
      <w:r w:rsidR="0041040A" w:rsidRPr="00C20656">
        <w:rPr>
          <w:rFonts w:ascii="Times New Roman" w:hAnsi="Times New Roman" w:cs="Times New Roman"/>
          <w:i/>
          <w:sz w:val="24"/>
          <w:szCs w:val="24"/>
        </w:rPr>
        <w:t xml:space="preserve">de facto </w:t>
      </w:r>
      <w:r w:rsidR="0041040A" w:rsidRPr="00C20656">
        <w:rPr>
          <w:rFonts w:ascii="Times New Roman" w:hAnsi="Times New Roman" w:cs="Times New Roman"/>
          <w:sz w:val="24"/>
          <w:szCs w:val="24"/>
        </w:rPr>
        <w:t xml:space="preserve">actionnaire de l’entreprise.  </w:t>
      </w:r>
      <w:r w:rsidR="00E77196" w:rsidRPr="00C20656">
        <w:rPr>
          <w:rFonts w:ascii="Times New Roman" w:hAnsi="Times New Roman" w:cs="Times New Roman"/>
          <w:sz w:val="24"/>
          <w:szCs w:val="24"/>
        </w:rPr>
        <w:t xml:space="preserve">La collectivité  </w:t>
      </w:r>
      <w:proofErr w:type="spellStart"/>
      <w:r w:rsidR="00E77196" w:rsidRPr="00C20656">
        <w:rPr>
          <w:rFonts w:ascii="Times New Roman" w:hAnsi="Times New Roman" w:cs="Times New Roman"/>
          <w:sz w:val="24"/>
          <w:szCs w:val="24"/>
        </w:rPr>
        <w:t>Bonel</w:t>
      </w:r>
      <w:r w:rsidR="005D1D5F" w:rsidRPr="00C20656">
        <w:rPr>
          <w:rFonts w:ascii="Times New Roman" w:hAnsi="Times New Roman" w:cs="Times New Roman"/>
          <w:sz w:val="24"/>
          <w:szCs w:val="24"/>
        </w:rPr>
        <w:t>ombo</w:t>
      </w:r>
      <w:proofErr w:type="spellEnd"/>
      <w:r w:rsidR="00E77196" w:rsidRPr="00C20656">
        <w:rPr>
          <w:rFonts w:ascii="Times New Roman" w:hAnsi="Times New Roman" w:cs="Times New Roman"/>
          <w:sz w:val="24"/>
          <w:szCs w:val="24"/>
        </w:rPr>
        <w:t xml:space="preserve"> découvre  cette supercherie  et constate   que «  son patrimoine immobilier qu’elle a mis en valeur par ses plantations et des habitations a été  immatriculé  frauduleusement et à son insu au nom de  la SOCAPALM. »</w:t>
      </w:r>
      <w:proofErr w:type="gramStart"/>
      <w:r w:rsidR="000105B6" w:rsidRPr="00C20656">
        <w:rPr>
          <w:rFonts w:ascii="Times New Roman" w:hAnsi="Times New Roman" w:cs="Times New Roman"/>
          <w:sz w:val="24"/>
          <w:szCs w:val="24"/>
        </w:rPr>
        <w:t>.</w:t>
      </w:r>
      <w:r w:rsidR="00F2688D" w:rsidRPr="00C20656">
        <w:rPr>
          <w:rFonts w:ascii="Times New Roman" w:hAnsi="Times New Roman" w:cs="Times New Roman"/>
          <w:sz w:val="24"/>
          <w:szCs w:val="24"/>
        </w:rPr>
        <w:t>.</w:t>
      </w:r>
      <w:proofErr w:type="gramEnd"/>
      <w:r w:rsidR="00F2688D" w:rsidRPr="00C20656">
        <w:rPr>
          <w:rFonts w:ascii="Times New Roman" w:hAnsi="Times New Roman" w:cs="Times New Roman"/>
          <w:sz w:val="24"/>
          <w:szCs w:val="24"/>
        </w:rPr>
        <w:t xml:space="preserve"> On a à faire à une expropriation tronquée  dans laquelle  toutes les procédures en la matière ont été bafouées notamment </w:t>
      </w:r>
      <w:r w:rsidR="00B71169" w:rsidRPr="00C20656">
        <w:rPr>
          <w:rFonts w:ascii="Times New Roman" w:hAnsi="Times New Roman" w:cs="Times New Roman"/>
          <w:sz w:val="24"/>
          <w:szCs w:val="24"/>
        </w:rPr>
        <w:t>pas d</w:t>
      </w:r>
      <w:r w:rsidR="007541CE" w:rsidRPr="00C20656">
        <w:rPr>
          <w:rFonts w:ascii="Times New Roman" w:hAnsi="Times New Roman" w:cs="Times New Roman"/>
          <w:sz w:val="24"/>
          <w:szCs w:val="24"/>
        </w:rPr>
        <w:t>’arrêté de</w:t>
      </w:r>
      <w:r w:rsidR="00B71169" w:rsidRPr="00C20656">
        <w:rPr>
          <w:rFonts w:ascii="Times New Roman" w:hAnsi="Times New Roman" w:cs="Times New Roman"/>
          <w:sz w:val="24"/>
          <w:szCs w:val="24"/>
        </w:rPr>
        <w:t xml:space="preserve"> déclaration d’utilité publique</w:t>
      </w:r>
      <w:r w:rsidR="007541CE" w:rsidRPr="00C20656">
        <w:rPr>
          <w:rFonts w:ascii="Times New Roman" w:hAnsi="Times New Roman" w:cs="Times New Roman"/>
          <w:sz w:val="24"/>
          <w:szCs w:val="24"/>
        </w:rPr>
        <w:t xml:space="preserve"> et </w:t>
      </w:r>
      <w:proofErr w:type="gramStart"/>
      <w:r w:rsidR="007541CE" w:rsidRPr="00C20656">
        <w:rPr>
          <w:rFonts w:ascii="Times New Roman" w:hAnsi="Times New Roman" w:cs="Times New Roman"/>
          <w:sz w:val="24"/>
          <w:szCs w:val="24"/>
        </w:rPr>
        <w:t>d’expropriation</w:t>
      </w:r>
      <w:r w:rsidR="00B71169" w:rsidRPr="00C20656">
        <w:rPr>
          <w:rFonts w:ascii="Times New Roman" w:hAnsi="Times New Roman" w:cs="Times New Roman"/>
          <w:sz w:val="24"/>
          <w:szCs w:val="24"/>
        </w:rPr>
        <w:t xml:space="preserve"> ,</w:t>
      </w:r>
      <w:proofErr w:type="gramEnd"/>
      <w:r w:rsidR="00B71169" w:rsidRPr="00C20656">
        <w:rPr>
          <w:rFonts w:ascii="Times New Roman" w:hAnsi="Times New Roman" w:cs="Times New Roman"/>
          <w:sz w:val="24"/>
          <w:szCs w:val="24"/>
        </w:rPr>
        <w:t xml:space="preserve"> pas d’indemnisation</w:t>
      </w:r>
      <w:r w:rsidR="007541CE" w:rsidRPr="00C20656">
        <w:rPr>
          <w:rFonts w:ascii="Times New Roman" w:hAnsi="Times New Roman" w:cs="Times New Roman"/>
          <w:sz w:val="24"/>
          <w:szCs w:val="24"/>
        </w:rPr>
        <w:t xml:space="preserve">. </w:t>
      </w:r>
      <w:r w:rsidR="007D76B7" w:rsidRPr="00C20656">
        <w:rPr>
          <w:rFonts w:ascii="Times New Roman" w:hAnsi="Times New Roman" w:cs="Times New Roman"/>
          <w:sz w:val="24"/>
          <w:szCs w:val="24"/>
        </w:rPr>
        <w:t>Ainsi  dans  la ville de  Yaoundé par exemple 20000   familles</w:t>
      </w:r>
      <w:r w:rsidR="007D76B7" w:rsidRPr="00C20656">
        <w:rPr>
          <w:rStyle w:val="Appelnotedebasdep"/>
          <w:rFonts w:ascii="Times New Roman" w:hAnsi="Times New Roman" w:cs="Times New Roman"/>
          <w:sz w:val="24"/>
          <w:szCs w:val="24"/>
        </w:rPr>
        <w:footnoteReference w:id="9"/>
      </w:r>
      <w:r w:rsidR="007D76B7" w:rsidRPr="00C20656">
        <w:rPr>
          <w:rFonts w:ascii="Times New Roman" w:hAnsi="Times New Roman" w:cs="Times New Roman"/>
          <w:sz w:val="24"/>
          <w:szCs w:val="24"/>
        </w:rPr>
        <w:t xml:space="preserve">  ont été notifiées d’un arrêté  d’expulsion  du domaine privé de l’État au profit d’un Institut de Recherche agronomique. À Douala plusieurs familles de la communauté des natifs  et des gens venus de divers horizons  occupent le domaine privé de l’État de  deux cent sept hectares et sont susceptibles d’être expulsées  à tout moment</w:t>
      </w:r>
      <w:r w:rsidR="00607D6B" w:rsidRPr="00C20656">
        <w:rPr>
          <w:rFonts w:ascii="Times New Roman" w:hAnsi="Times New Roman" w:cs="Times New Roman"/>
          <w:sz w:val="24"/>
          <w:szCs w:val="24"/>
        </w:rPr>
        <w:t xml:space="preserve">  </w:t>
      </w:r>
      <w:r w:rsidR="003316E7" w:rsidRPr="00C20656">
        <w:rPr>
          <w:rFonts w:ascii="Times New Roman" w:hAnsi="Times New Roman" w:cs="Times New Roman"/>
          <w:sz w:val="24"/>
          <w:szCs w:val="24"/>
        </w:rPr>
        <w:t xml:space="preserve"> </w:t>
      </w:r>
    </w:p>
    <w:p w:rsidR="001A676A" w:rsidRPr="00C20656" w:rsidRDefault="005D5515"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Ces deux </w:t>
      </w:r>
      <w:proofErr w:type="gramStart"/>
      <w:r w:rsidRPr="00C20656">
        <w:rPr>
          <w:rFonts w:ascii="Times New Roman" w:hAnsi="Times New Roman" w:cs="Times New Roman"/>
          <w:sz w:val="24"/>
          <w:szCs w:val="24"/>
        </w:rPr>
        <w:t>litiges ,</w:t>
      </w:r>
      <w:proofErr w:type="gramEnd"/>
      <w:r w:rsidRPr="00C20656">
        <w:rPr>
          <w:rFonts w:ascii="Times New Roman" w:hAnsi="Times New Roman" w:cs="Times New Roman"/>
          <w:sz w:val="24"/>
          <w:szCs w:val="24"/>
        </w:rPr>
        <w:t xml:space="preserve"> </w:t>
      </w:r>
      <w:r w:rsidR="007541CE" w:rsidRPr="00C20656">
        <w:rPr>
          <w:rFonts w:ascii="Times New Roman" w:hAnsi="Times New Roman" w:cs="Times New Roman"/>
          <w:sz w:val="24"/>
          <w:szCs w:val="24"/>
        </w:rPr>
        <w:t xml:space="preserve">portés vers les tribunaux  administratifs des deux villes </w:t>
      </w:r>
      <w:r w:rsidRPr="00C20656">
        <w:rPr>
          <w:rFonts w:ascii="Times New Roman" w:hAnsi="Times New Roman" w:cs="Times New Roman"/>
          <w:sz w:val="24"/>
          <w:szCs w:val="24"/>
        </w:rPr>
        <w:t xml:space="preserve">, </w:t>
      </w:r>
      <w:r w:rsidR="007A275A" w:rsidRPr="00C20656">
        <w:rPr>
          <w:rFonts w:ascii="Times New Roman" w:hAnsi="Times New Roman" w:cs="Times New Roman"/>
          <w:sz w:val="24"/>
          <w:szCs w:val="24"/>
        </w:rPr>
        <w:t xml:space="preserve">connaissent  une véritable complexification  judiciaire. Ils </w:t>
      </w:r>
      <w:r w:rsidR="00F060E5" w:rsidRPr="00C20656">
        <w:rPr>
          <w:rFonts w:ascii="Times New Roman" w:hAnsi="Times New Roman" w:cs="Times New Roman"/>
          <w:sz w:val="24"/>
          <w:szCs w:val="24"/>
        </w:rPr>
        <w:t xml:space="preserve"> présente</w:t>
      </w:r>
      <w:r w:rsidR="000B5842" w:rsidRPr="00C20656">
        <w:rPr>
          <w:rFonts w:ascii="Times New Roman" w:hAnsi="Times New Roman" w:cs="Times New Roman"/>
          <w:sz w:val="24"/>
          <w:szCs w:val="24"/>
        </w:rPr>
        <w:t xml:space="preserve">nt </w:t>
      </w:r>
      <w:r w:rsidR="00F060E5" w:rsidRPr="00C20656">
        <w:rPr>
          <w:rFonts w:ascii="Times New Roman" w:hAnsi="Times New Roman" w:cs="Times New Roman"/>
          <w:sz w:val="24"/>
          <w:szCs w:val="24"/>
        </w:rPr>
        <w:t xml:space="preserve"> </w:t>
      </w:r>
      <w:r w:rsidR="00266665" w:rsidRPr="00C20656">
        <w:rPr>
          <w:rFonts w:ascii="Times New Roman" w:hAnsi="Times New Roman" w:cs="Times New Roman"/>
          <w:sz w:val="24"/>
          <w:szCs w:val="24"/>
        </w:rPr>
        <w:t>un même trait distinctif</w:t>
      </w:r>
      <w:r w:rsidR="00F060E5" w:rsidRPr="00C20656">
        <w:rPr>
          <w:rFonts w:ascii="Times New Roman" w:hAnsi="Times New Roman" w:cs="Times New Roman"/>
          <w:sz w:val="24"/>
          <w:szCs w:val="24"/>
        </w:rPr>
        <w:t xml:space="preserve"> dans la procédure judiciaire</w:t>
      </w:r>
      <w:r w:rsidR="007A275A" w:rsidRPr="00C20656">
        <w:rPr>
          <w:rFonts w:ascii="Times New Roman" w:hAnsi="Times New Roman" w:cs="Times New Roman"/>
          <w:sz w:val="24"/>
          <w:szCs w:val="24"/>
        </w:rPr>
        <w:t xml:space="preserve"> </w:t>
      </w:r>
      <w:r w:rsidR="00266665" w:rsidRPr="00C20656">
        <w:rPr>
          <w:rFonts w:ascii="Times New Roman" w:hAnsi="Times New Roman" w:cs="Times New Roman"/>
          <w:sz w:val="24"/>
          <w:szCs w:val="24"/>
        </w:rPr>
        <w:t xml:space="preserve">à savoir l’immixtion </w:t>
      </w:r>
      <w:r w:rsidR="004D6EB5" w:rsidRPr="00C20656">
        <w:rPr>
          <w:rFonts w:ascii="Times New Roman" w:hAnsi="Times New Roman" w:cs="Times New Roman"/>
          <w:sz w:val="24"/>
          <w:szCs w:val="24"/>
        </w:rPr>
        <w:t xml:space="preserve">curieuse </w:t>
      </w:r>
      <w:r w:rsidR="003F70B9" w:rsidRPr="00C20656">
        <w:rPr>
          <w:rFonts w:ascii="Times New Roman" w:hAnsi="Times New Roman" w:cs="Times New Roman"/>
          <w:sz w:val="24"/>
          <w:szCs w:val="24"/>
        </w:rPr>
        <w:t xml:space="preserve"> </w:t>
      </w:r>
      <w:r w:rsidR="00266665" w:rsidRPr="00C20656">
        <w:rPr>
          <w:rFonts w:ascii="Times New Roman" w:hAnsi="Times New Roman" w:cs="Times New Roman"/>
          <w:sz w:val="24"/>
          <w:szCs w:val="24"/>
        </w:rPr>
        <w:t xml:space="preserve"> à chaque cas  d’un  nouvel acteur qui </w:t>
      </w:r>
      <w:r w:rsidR="00266665" w:rsidRPr="00C20656">
        <w:rPr>
          <w:rFonts w:ascii="Times New Roman" w:hAnsi="Times New Roman" w:cs="Times New Roman"/>
          <w:sz w:val="24"/>
          <w:szCs w:val="24"/>
        </w:rPr>
        <w:lastRenderedPageBreak/>
        <w:t>ajoute à la complexification du problème.</w:t>
      </w:r>
      <w:r w:rsidR="006624DB">
        <w:rPr>
          <w:rFonts w:ascii="Times New Roman" w:hAnsi="Times New Roman" w:cs="Times New Roman"/>
          <w:sz w:val="24"/>
          <w:szCs w:val="24"/>
        </w:rPr>
        <w:t xml:space="preserve"> Faisons entorse à l’exhaustivité en nous focalisant sur la collectivité </w:t>
      </w:r>
      <w:proofErr w:type="spellStart"/>
      <w:r w:rsidR="006624DB">
        <w:rPr>
          <w:rFonts w:ascii="Times New Roman" w:hAnsi="Times New Roman" w:cs="Times New Roman"/>
          <w:sz w:val="24"/>
          <w:szCs w:val="24"/>
        </w:rPr>
        <w:t>Mvog</w:t>
      </w:r>
      <w:proofErr w:type="spellEnd"/>
      <w:r w:rsidR="006624DB">
        <w:rPr>
          <w:rFonts w:ascii="Times New Roman" w:hAnsi="Times New Roman" w:cs="Times New Roman"/>
          <w:sz w:val="24"/>
          <w:szCs w:val="24"/>
        </w:rPr>
        <w:t xml:space="preserve"> </w:t>
      </w:r>
      <w:proofErr w:type="spellStart"/>
      <w:r w:rsidR="006624DB">
        <w:rPr>
          <w:rFonts w:ascii="Times New Roman" w:hAnsi="Times New Roman" w:cs="Times New Roman"/>
          <w:sz w:val="24"/>
          <w:szCs w:val="24"/>
        </w:rPr>
        <w:t>Melingui</w:t>
      </w:r>
      <w:proofErr w:type="spellEnd"/>
      <w:r w:rsidR="006624DB">
        <w:rPr>
          <w:rFonts w:ascii="Times New Roman" w:hAnsi="Times New Roman" w:cs="Times New Roman"/>
          <w:sz w:val="24"/>
          <w:szCs w:val="24"/>
        </w:rPr>
        <w:t>.</w:t>
      </w:r>
    </w:p>
    <w:p w:rsidR="000629B7" w:rsidRPr="00C20656" w:rsidRDefault="002E425F" w:rsidP="00C20656">
      <w:pPr>
        <w:pStyle w:val="Sansinterligne"/>
        <w:jc w:val="both"/>
        <w:rPr>
          <w:rFonts w:ascii="Times New Roman" w:hAnsi="Times New Roman" w:cs="Times New Roman"/>
          <w:sz w:val="24"/>
          <w:szCs w:val="24"/>
        </w:rPr>
      </w:pPr>
      <w:r w:rsidRPr="00C20656">
        <w:rPr>
          <w:rFonts w:ascii="Times New Roman" w:hAnsi="Times New Roman" w:cs="Times New Roman"/>
          <w:sz w:val="24"/>
          <w:szCs w:val="24"/>
        </w:rPr>
        <w:t>Dans le conflit opposant la collectivit</w:t>
      </w:r>
      <w:r w:rsidR="004D6EB5" w:rsidRPr="00C20656">
        <w:rPr>
          <w:rFonts w:ascii="Times New Roman" w:hAnsi="Times New Roman" w:cs="Times New Roman"/>
          <w:sz w:val="24"/>
          <w:szCs w:val="24"/>
        </w:rPr>
        <w:t xml:space="preserve">é </w:t>
      </w:r>
      <w:proofErr w:type="spellStart"/>
      <w:r w:rsidR="004D6EB5" w:rsidRPr="00C20656">
        <w:rPr>
          <w:rFonts w:ascii="Times New Roman" w:hAnsi="Times New Roman" w:cs="Times New Roman"/>
          <w:sz w:val="24"/>
          <w:szCs w:val="24"/>
        </w:rPr>
        <w:t>Mvog</w:t>
      </w:r>
      <w:proofErr w:type="spellEnd"/>
      <w:r w:rsidR="004D6EB5" w:rsidRPr="00C20656">
        <w:rPr>
          <w:rFonts w:ascii="Times New Roman" w:hAnsi="Times New Roman" w:cs="Times New Roman"/>
          <w:sz w:val="24"/>
          <w:szCs w:val="24"/>
        </w:rPr>
        <w:t xml:space="preserve"> </w:t>
      </w:r>
      <w:proofErr w:type="spellStart"/>
      <w:r w:rsidR="004D6EB5" w:rsidRPr="00C20656">
        <w:rPr>
          <w:rFonts w:ascii="Times New Roman" w:hAnsi="Times New Roman" w:cs="Times New Roman"/>
          <w:sz w:val="24"/>
          <w:szCs w:val="24"/>
        </w:rPr>
        <w:t>Melingui</w:t>
      </w:r>
      <w:proofErr w:type="spellEnd"/>
      <w:r w:rsidR="004370D8" w:rsidRPr="00C20656">
        <w:rPr>
          <w:rFonts w:ascii="Times New Roman" w:hAnsi="Times New Roman" w:cs="Times New Roman"/>
          <w:sz w:val="24"/>
          <w:szCs w:val="24"/>
        </w:rPr>
        <w:t xml:space="preserve"> </w:t>
      </w:r>
      <w:r w:rsidR="00BA29E7" w:rsidRPr="00C20656">
        <w:rPr>
          <w:rFonts w:ascii="Times New Roman" w:hAnsi="Times New Roman" w:cs="Times New Roman"/>
          <w:sz w:val="24"/>
          <w:szCs w:val="24"/>
        </w:rPr>
        <w:t>à l’État du Cameroun</w:t>
      </w:r>
      <w:r w:rsidR="004370D8" w:rsidRPr="00C20656">
        <w:rPr>
          <w:rFonts w:ascii="Times New Roman" w:hAnsi="Times New Roman" w:cs="Times New Roman"/>
          <w:sz w:val="24"/>
          <w:szCs w:val="24"/>
        </w:rPr>
        <w:t xml:space="preserve"> la </w:t>
      </w:r>
      <w:r w:rsidR="00514DA8" w:rsidRPr="00C20656">
        <w:rPr>
          <w:rFonts w:ascii="Times New Roman" w:hAnsi="Times New Roman" w:cs="Times New Roman"/>
          <w:sz w:val="24"/>
          <w:szCs w:val="24"/>
        </w:rPr>
        <w:t>justice</w:t>
      </w:r>
      <w:r w:rsidR="004370D8" w:rsidRPr="00C20656">
        <w:rPr>
          <w:rFonts w:ascii="Times New Roman" w:hAnsi="Times New Roman" w:cs="Times New Roman"/>
          <w:sz w:val="24"/>
          <w:szCs w:val="24"/>
        </w:rPr>
        <w:t xml:space="preserve"> a rendu trois </w:t>
      </w:r>
      <w:r w:rsidR="000D3709" w:rsidRPr="00C20656">
        <w:rPr>
          <w:rFonts w:ascii="Times New Roman" w:hAnsi="Times New Roman" w:cs="Times New Roman"/>
          <w:sz w:val="24"/>
          <w:szCs w:val="24"/>
        </w:rPr>
        <w:t>décisions.</w:t>
      </w:r>
      <w:r w:rsidR="000535AA" w:rsidRPr="00C20656">
        <w:rPr>
          <w:rFonts w:ascii="Times New Roman" w:hAnsi="Times New Roman" w:cs="Times New Roman"/>
          <w:sz w:val="24"/>
          <w:szCs w:val="24"/>
        </w:rPr>
        <w:t xml:space="preserve"> </w:t>
      </w:r>
      <w:r w:rsidR="00EB7A01" w:rsidRPr="00C20656">
        <w:rPr>
          <w:rFonts w:ascii="Times New Roman" w:hAnsi="Times New Roman" w:cs="Times New Roman"/>
          <w:sz w:val="24"/>
          <w:szCs w:val="24"/>
        </w:rPr>
        <w:t>La première</w:t>
      </w:r>
      <w:r w:rsidR="000535AA" w:rsidRPr="00C20656">
        <w:rPr>
          <w:rFonts w:ascii="Times New Roman" w:hAnsi="Times New Roman" w:cs="Times New Roman"/>
          <w:sz w:val="24"/>
          <w:szCs w:val="24"/>
        </w:rPr>
        <w:t xml:space="preserve"> est rendue </w:t>
      </w:r>
      <w:r w:rsidR="00514DA8" w:rsidRPr="00C20656">
        <w:rPr>
          <w:rFonts w:ascii="Times New Roman" w:hAnsi="Times New Roman" w:cs="Times New Roman"/>
          <w:sz w:val="24"/>
          <w:szCs w:val="24"/>
        </w:rPr>
        <w:t xml:space="preserve">par la Chambre administrative de la Cour Suprême </w:t>
      </w:r>
      <w:r w:rsidR="000535AA" w:rsidRPr="00C20656">
        <w:rPr>
          <w:rFonts w:ascii="Times New Roman" w:hAnsi="Times New Roman" w:cs="Times New Roman"/>
          <w:sz w:val="24"/>
          <w:szCs w:val="24"/>
        </w:rPr>
        <w:t xml:space="preserve">le  12 janvier 2011 Jugement n° 35/2011//CA/CS suite aux  recours </w:t>
      </w:r>
      <w:r w:rsidR="008C4E6E" w:rsidRPr="00C20656">
        <w:rPr>
          <w:rFonts w:ascii="Times New Roman" w:hAnsi="Times New Roman" w:cs="Times New Roman"/>
          <w:sz w:val="24"/>
          <w:szCs w:val="24"/>
        </w:rPr>
        <w:t>n° 147 &amp; 269</w:t>
      </w:r>
      <w:r w:rsidR="00EB7A01" w:rsidRPr="00C20656">
        <w:rPr>
          <w:rFonts w:ascii="Times New Roman" w:hAnsi="Times New Roman" w:cs="Times New Roman"/>
          <w:sz w:val="24"/>
          <w:szCs w:val="24"/>
        </w:rPr>
        <w:t xml:space="preserve"> </w:t>
      </w:r>
      <w:r w:rsidR="008C4E6E" w:rsidRPr="00C20656">
        <w:rPr>
          <w:rFonts w:ascii="Times New Roman" w:hAnsi="Times New Roman" w:cs="Times New Roman"/>
          <w:sz w:val="24"/>
          <w:szCs w:val="24"/>
        </w:rPr>
        <w:t>/ 04/05 des 1</w:t>
      </w:r>
      <w:r w:rsidR="008C4E6E" w:rsidRPr="00C20656">
        <w:rPr>
          <w:rFonts w:ascii="Times New Roman" w:hAnsi="Times New Roman" w:cs="Times New Roman"/>
          <w:sz w:val="24"/>
          <w:szCs w:val="24"/>
          <w:vertAlign w:val="superscript"/>
        </w:rPr>
        <w:t>er</w:t>
      </w:r>
      <w:r w:rsidR="008C4E6E" w:rsidRPr="00C20656">
        <w:rPr>
          <w:rFonts w:ascii="Times New Roman" w:hAnsi="Times New Roman" w:cs="Times New Roman"/>
          <w:sz w:val="24"/>
          <w:szCs w:val="24"/>
        </w:rPr>
        <w:t xml:space="preserve"> avril et  11 août 2005 </w:t>
      </w:r>
      <w:r w:rsidR="002D556E" w:rsidRPr="00C20656">
        <w:rPr>
          <w:rFonts w:ascii="Times New Roman" w:hAnsi="Times New Roman" w:cs="Times New Roman"/>
          <w:sz w:val="24"/>
          <w:szCs w:val="24"/>
        </w:rPr>
        <w:t>aux fins d’annulation du message porté</w:t>
      </w:r>
      <w:r w:rsidR="002359AD" w:rsidRPr="00C20656">
        <w:rPr>
          <w:rFonts w:ascii="Times New Roman" w:hAnsi="Times New Roman" w:cs="Times New Roman"/>
          <w:sz w:val="24"/>
          <w:szCs w:val="24"/>
        </w:rPr>
        <w:t xml:space="preserve"> du  22 février</w:t>
      </w:r>
      <w:r w:rsidR="00276E3D" w:rsidRPr="00C20656">
        <w:rPr>
          <w:rFonts w:ascii="Times New Roman" w:hAnsi="Times New Roman" w:cs="Times New Roman"/>
          <w:sz w:val="24"/>
          <w:szCs w:val="24"/>
        </w:rPr>
        <w:t xml:space="preserve"> </w:t>
      </w:r>
      <w:r w:rsidR="002359AD" w:rsidRPr="00C20656">
        <w:rPr>
          <w:rFonts w:ascii="Times New Roman" w:hAnsi="Times New Roman" w:cs="Times New Roman"/>
          <w:sz w:val="24"/>
          <w:szCs w:val="24"/>
        </w:rPr>
        <w:t xml:space="preserve"> 2005</w:t>
      </w:r>
      <w:r w:rsidR="002D556E" w:rsidRPr="00C20656">
        <w:rPr>
          <w:rFonts w:ascii="Times New Roman" w:hAnsi="Times New Roman" w:cs="Times New Roman"/>
          <w:sz w:val="24"/>
          <w:szCs w:val="24"/>
        </w:rPr>
        <w:t xml:space="preserve"> n°</w:t>
      </w:r>
      <w:r w:rsidR="002359AD" w:rsidRPr="00C20656">
        <w:rPr>
          <w:rFonts w:ascii="Times New Roman" w:hAnsi="Times New Roman" w:cs="Times New Roman"/>
          <w:sz w:val="24"/>
          <w:szCs w:val="24"/>
        </w:rPr>
        <w:t>1</w:t>
      </w:r>
      <w:r w:rsidR="002D556E" w:rsidRPr="00C20656">
        <w:rPr>
          <w:rFonts w:ascii="Times New Roman" w:hAnsi="Times New Roman" w:cs="Times New Roman"/>
          <w:sz w:val="24"/>
          <w:szCs w:val="24"/>
        </w:rPr>
        <w:t>7</w:t>
      </w:r>
      <w:r w:rsidR="002359AD" w:rsidRPr="00C20656">
        <w:rPr>
          <w:rFonts w:ascii="Times New Roman" w:hAnsi="Times New Roman" w:cs="Times New Roman"/>
          <w:sz w:val="24"/>
          <w:szCs w:val="24"/>
        </w:rPr>
        <w:t>2</w:t>
      </w:r>
      <w:r w:rsidR="002D556E" w:rsidRPr="00C20656">
        <w:rPr>
          <w:rFonts w:ascii="Times New Roman" w:hAnsi="Times New Roman" w:cs="Times New Roman"/>
          <w:sz w:val="24"/>
          <w:szCs w:val="24"/>
        </w:rPr>
        <w:t xml:space="preserve">/MP/J06-02/SP  du </w:t>
      </w:r>
      <w:r w:rsidR="004820D6" w:rsidRPr="00C20656">
        <w:rPr>
          <w:rFonts w:ascii="Times New Roman" w:hAnsi="Times New Roman" w:cs="Times New Roman"/>
          <w:sz w:val="24"/>
          <w:szCs w:val="24"/>
        </w:rPr>
        <w:t>Sous-Préfet</w:t>
      </w:r>
      <w:r w:rsidR="002D556E" w:rsidRPr="00C20656">
        <w:rPr>
          <w:rFonts w:ascii="Times New Roman" w:hAnsi="Times New Roman" w:cs="Times New Roman"/>
          <w:sz w:val="24"/>
          <w:szCs w:val="24"/>
        </w:rPr>
        <w:t xml:space="preserve"> de l’ Arrondissement de Yaoundé 2</w:t>
      </w:r>
      <w:r w:rsidR="002D556E" w:rsidRPr="00C20656">
        <w:rPr>
          <w:rFonts w:ascii="Times New Roman" w:hAnsi="Times New Roman" w:cs="Times New Roman"/>
          <w:sz w:val="24"/>
          <w:szCs w:val="24"/>
          <w:vertAlign w:val="superscript"/>
        </w:rPr>
        <w:t>ème</w:t>
      </w:r>
      <w:r w:rsidR="002D556E" w:rsidRPr="00C20656">
        <w:rPr>
          <w:rFonts w:ascii="Times New Roman" w:hAnsi="Times New Roman" w:cs="Times New Roman"/>
          <w:sz w:val="24"/>
          <w:szCs w:val="24"/>
        </w:rPr>
        <w:t xml:space="preserve">  portant suspension d’exécution des travaux  jusqu’au règlement définitif du litige  foncier opposant la Collectivité </w:t>
      </w:r>
      <w:proofErr w:type="spellStart"/>
      <w:r w:rsidR="002D556E" w:rsidRPr="00C20656">
        <w:rPr>
          <w:rFonts w:ascii="Times New Roman" w:hAnsi="Times New Roman" w:cs="Times New Roman"/>
          <w:sz w:val="24"/>
          <w:szCs w:val="24"/>
        </w:rPr>
        <w:t>Mvog</w:t>
      </w:r>
      <w:proofErr w:type="spellEnd"/>
      <w:r w:rsidR="002D556E" w:rsidRPr="00C20656">
        <w:rPr>
          <w:rFonts w:ascii="Times New Roman" w:hAnsi="Times New Roman" w:cs="Times New Roman"/>
          <w:sz w:val="24"/>
          <w:szCs w:val="24"/>
        </w:rPr>
        <w:t xml:space="preserve"> </w:t>
      </w:r>
      <w:proofErr w:type="spellStart"/>
      <w:r w:rsidR="002D556E" w:rsidRPr="00C20656">
        <w:rPr>
          <w:rFonts w:ascii="Times New Roman" w:hAnsi="Times New Roman" w:cs="Times New Roman"/>
          <w:sz w:val="24"/>
          <w:szCs w:val="24"/>
        </w:rPr>
        <w:t>Melingui</w:t>
      </w:r>
      <w:proofErr w:type="spellEnd"/>
      <w:r w:rsidR="002D556E" w:rsidRPr="00C20656">
        <w:rPr>
          <w:rFonts w:ascii="Times New Roman" w:hAnsi="Times New Roman" w:cs="Times New Roman"/>
          <w:sz w:val="24"/>
          <w:szCs w:val="24"/>
        </w:rPr>
        <w:t xml:space="preserve"> et </w:t>
      </w:r>
      <w:r w:rsidR="002359AD" w:rsidRPr="00C20656">
        <w:rPr>
          <w:rFonts w:ascii="Times New Roman" w:hAnsi="Times New Roman" w:cs="Times New Roman"/>
          <w:sz w:val="24"/>
          <w:szCs w:val="24"/>
        </w:rPr>
        <w:t xml:space="preserve"> L’Institut de Recherches Agricoles pour le Développement (IRAD).</w:t>
      </w:r>
      <w:r w:rsidR="002D556E" w:rsidRPr="00C20656">
        <w:rPr>
          <w:rFonts w:ascii="Times New Roman" w:hAnsi="Times New Roman" w:cs="Times New Roman"/>
          <w:sz w:val="24"/>
          <w:szCs w:val="24"/>
        </w:rPr>
        <w:t xml:space="preserve"> </w:t>
      </w:r>
      <w:r w:rsidR="000D3709" w:rsidRPr="00C20656">
        <w:rPr>
          <w:rFonts w:ascii="Times New Roman" w:hAnsi="Times New Roman" w:cs="Times New Roman"/>
          <w:sz w:val="24"/>
          <w:szCs w:val="24"/>
        </w:rPr>
        <w:t>La Chambre</w:t>
      </w:r>
      <w:r w:rsidR="000E0EF6" w:rsidRPr="00C20656">
        <w:rPr>
          <w:rFonts w:ascii="Times New Roman" w:hAnsi="Times New Roman" w:cs="Times New Roman"/>
          <w:sz w:val="24"/>
          <w:szCs w:val="24"/>
        </w:rPr>
        <w:t xml:space="preserve"> administrative de la Cour suprême décida que l’Arrêté n°172/</w:t>
      </w:r>
      <w:r w:rsidR="004820D6" w:rsidRPr="00C20656">
        <w:rPr>
          <w:rFonts w:ascii="Times New Roman" w:hAnsi="Times New Roman" w:cs="Times New Roman"/>
          <w:sz w:val="24"/>
          <w:szCs w:val="24"/>
        </w:rPr>
        <w:t>AP/J06 du 22 février 2005 est annulé.</w:t>
      </w:r>
    </w:p>
    <w:p w:rsidR="001A676A" w:rsidRPr="00C20656" w:rsidRDefault="004820D6"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La deuxième décision </w:t>
      </w:r>
      <w:r w:rsidR="005B6A48" w:rsidRPr="00C20656">
        <w:rPr>
          <w:rFonts w:ascii="Times New Roman" w:hAnsi="Times New Roman" w:cs="Times New Roman"/>
          <w:sz w:val="24"/>
          <w:szCs w:val="24"/>
        </w:rPr>
        <w:t xml:space="preserve"> </w:t>
      </w:r>
      <w:r w:rsidR="009978A3" w:rsidRPr="00C20656">
        <w:rPr>
          <w:rFonts w:ascii="Times New Roman" w:hAnsi="Times New Roman" w:cs="Times New Roman"/>
          <w:sz w:val="24"/>
          <w:szCs w:val="24"/>
        </w:rPr>
        <w:t xml:space="preserve"> est</w:t>
      </w:r>
      <w:r w:rsidR="0019694C" w:rsidRPr="00C20656">
        <w:rPr>
          <w:rFonts w:ascii="Times New Roman" w:hAnsi="Times New Roman" w:cs="Times New Roman"/>
          <w:sz w:val="24"/>
          <w:szCs w:val="24"/>
        </w:rPr>
        <w:t xml:space="preserve"> </w:t>
      </w:r>
      <w:r w:rsidR="000D3709" w:rsidRPr="00C20656">
        <w:rPr>
          <w:rFonts w:ascii="Times New Roman" w:hAnsi="Times New Roman" w:cs="Times New Roman"/>
          <w:sz w:val="24"/>
          <w:szCs w:val="24"/>
        </w:rPr>
        <w:t>rendue</w:t>
      </w:r>
      <w:r w:rsidR="00514DA8" w:rsidRPr="00C20656">
        <w:rPr>
          <w:rFonts w:ascii="Times New Roman" w:hAnsi="Times New Roman" w:cs="Times New Roman"/>
          <w:sz w:val="24"/>
          <w:szCs w:val="24"/>
        </w:rPr>
        <w:t xml:space="preserve"> toujours par la Chambre administrative de la Cour </w:t>
      </w:r>
      <w:r w:rsidR="00F61930" w:rsidRPr="00C20656">
        <w:rPr>
          <w:rFonts w:ascii="Times New Roman" w:hAnsi="Times New Roman" w:cs="Times New Roman"/>
          <w:sz w:val="24"/>
          <w:szCs w:val="24"/>
        </w:rPr>
        <w:t>Suprême</w:t>
      </w:r>
      <w:r w:rsidR="000D3709" w:rsidRPr="00C20656">
        <w:rPr>
          <w:rFonts w:ascii="Times New Roman" w:hAnsi="Times New Roman" w:cs="Times New Roman"/>
          <w:sz w:val="24"/>
          <w:szCs w:val="24"/>
        </w:rPr>
        <w:t xml:space="preserve"> le</w:t>
      </w:r>
      <w:r w:rsidR="0019694C" w:rsidRPr="00C20656">
        <w:rPr>
          <w:rFonts w:ascii="Times New Roman" w:hAnsi="Times New Roman" w:cs="Times New Roman"/>
          <w:sz w:val="24"/>
          <w:szCs w:val="24"/>
        </w:rPr>
        <w:t xml:space="preserve"> 20 juin 2012 selon le jugement n°81/2012/CA/CS</w:t>
      </w:r>
      <w:r w:rsidR="00400827" w:rsidRPr="00C20656">
        <w:rPr>
          <w:rFonts w:ascii="Times New Roman" w:hAnsi="Times New Roman" w:cs="Times New Roman"/>
          <w:sz w:val="24"/>
          <w:szCs w:val="24"/>
        </w:rPr>
        <w:t xml:space="preserve"> suite au recours n° 86/2009 du 16 mars 2009</w:t>
      </w:r>
      <w:r w:rsidR="006C12E6" w:rsidRPr="00C20656">
        <w:rPr>
          <w:rFonts w:ascii="Times New Roman" w:hAnsi="Times New Roman" w:cs="Times New Roman"/>
          <w:sz w:val="24"/>
          <w:szCs w:val="24"/>
        </w:rPr>
        <w:t xml:space="preserve">  de la collectivité </w:t>
      </w:r>
      <w:proofErr w:type="spellStart"/>
      <w:r w:rsidR="006C12E6" w:rsidRPr="00C20656">
        <w:rPr>
          <w:rFonts w:ascii="Times New Roman" w:hAnsi="Times New Roman" w:cs="Times New Roman"/>
          <w:sz w:val="24"/>
          <w:szCs w:val="24"/>
        </w:rPr>
        <w:t>Mvog</w:t>
      </w:r>
      <w:proofErr w:type="spellEnd"/>
      <w:r w:rsidR="006C12E6" w:rsidRPr="00C20656">
        <w:rPr>
          <w:rFonts w:ascii="Times New Roman" w:hAnsi="Times New Roman" w:cs="Times New Roman"/>
          <w:sz w:val="24"/>
          <w:szCs w:val="24"/>
        </w:rPr>
        <w:t xml:space="preserve">  </w:t>
      </w:r>
      <w:proofErr w:type="spellStart"/>
      <w:r w:rsidR="006C12E6" w:rsidRPr="00C20656">
        <w:rPr>
          <w:rFonts w:ascii="Times New Roman" w:hAnsi="Times New Roman" w:cs="Times New Roman"/>
          <w:sz w:val="24"/>
          <w:szCs w:val="24"/>
        </w:rPr>
        <w:t>Melingui</w:t>
      </w:r>
      <w:proofErr w:type="spellEnd"/>
      <w:r w:rsidR="006C12E6" w:rsidRPr="00C20656">
        <w:rPr>
          <w:rFonts w:ascii="Times New Roman" w:hAnsi="Times New Roman" w:cs="Times New Roman"/>
          <w:sz w:val="24"/>
          <w:szCs w:val="24"/>
        </w:rPr>
        <w:t xml:space="preserve">  aux fins d’annulation  du titre foncier  n° 40877 /</w:t>
      </w:r>
      <w:proofErr w:type="spellStart"/>
      <w:r w:rsidR="006C12E6" w:rsidRPr="00C20656">
        <w:rPr>
          <w:rFonts w:ascii="Times New Roman" w:hAnsi="Times New Roman" w:cs="Times New Roman"/>
          <w:sz w:val="24"/>
          <w:szCs w:val="24"/>
        </w:rPr>
        <w:t>Mfoundi</w:t>
      </w:r>
      <w:proofErr w:type="spellEnd"/>
      <w:r w:rsidR="006C12E6" w:rsidRPr="00C20656">
        <w:rPr>
          <w:rFonts w:ascii="Times New Roman" w:hAnsi="Times New Roman" w:cs="Times New Roman"/>
          <w:sz w:val="24"/>
          <w:szCs w:val="24"/>
        </w:rPr>
        <w:t xml:space="preserve">  délivré le 30 juin 2008 au Ministère de la Recherche  Scientifique et de l’Innovation (MINRESI) et à</w:t>
      </w:r>
      <w:r w:rsidR="00C30605" w:rsidRPr="00C20656">
        <w:rPr>
          <w:rFonts w:ascii="Times New Roman" w:hAnsi="Times New Roman" w:cs="Times New Roman"/>
          <w:sz w:val="24"/>
          <w:szCs w:val="24"/>
        </w:rPr>
        <w:t xml:space="preserve"> l’Institut  de Recherche Agronomique pour le Développement (IRAD)</w:t>
      </w:r>
      <w:r w:rsidR="000D3709" w:rsidRPr="00C20656">
        <w:rPr>
          <w:rFonts w:ascii="Times New Roman" w:hAnsi="Times New Roman" w:cs="Times New Roman"/>
          <w:sz w:val="24"/>
          <w:szCs w:val="24"/>
        </w:rPr>
        <w:t>.La Chambre administrative de la Cour suprême décida que le titre foncier  n° 40877 /</w:t>
      </w:r>
      <w:proofErr w:type="spellStart"/>
      <w:r w:rsidR="000D3709" w:rsidRPr="00C20656">
        <w:rPr>
          <w:rFonts w:ascii="Times New Roman" w:hAnsi="Times New Roman" w:cs="Times New Roman"/>
          <w:sz w:val="24"/>
          <w:szCs w:val="24"/>
        </w:rPr>
        <w:t>Mfoundi</w:t>
      </w:r>
      <w:proofErr w:type="spellEnd"/>
      <w:r w:rsidR="000D3709" w:rsidRPr="00C20656">
        <w:rPr>
          <w:rFonts w:ascii="Times New Roman" w:hAnsi="Times New Roman" w:cs="Times New Roman"/>
          <w:sz w:val="24"/>
          <w:szCs w:val="24"/>
        </w:rPr>
        <w:t xml:space="preserve">   est annulé.</w:t>
      </w:r>
      <w:r w:rsidR="00424D91" w:rsidRPr="00C20656">
        <w:rPr>
          <w:rFonts w:ascii="Times New Roman" w:hAnsi="Times New Roman" w:cs="Times New Roman"/>
          <w:sz w:val="24"/>
          <w:szCs w:val="24"/>
        </w:rPr>
        <w:t xml:space="preserve"> À</w:t>
      </w:r>
      <w:r w:rsidR="001F19A1" w:rsidRPr="00C20656">
        <w:rPr>
          <w:rFonts w:ascii="Times New Roman" w:hAnsi="Times New Roman" w:cs="Times New Roman"/>
          <w:sz w:val="24"/>
          <w:szCs w:val="24"/>
        </w:rPr>
        <w:t xml:space="preserve"> la suite  de ce  jugem</w:t>
      </w:r>
      <w:r w:rsidR="007E6C8F" w:rsidRPr="00C20656">
        <w:rPr>
          <w:rFonts w:ascii="Times New Roman" w:hAnsi="Times New Roman" w:cs="Times New Roman"/>
          <w:sz w:val="24"/>
          <w:szCs w:val="24"/>
        </w:rPr>
        <w:t>ent le Ministère des Domaines</w:t>
      </w:r>
      <w:r w:rsidR="00C47149" w:rsidRPr="00C20656">
        <w:rPr>
          <w:rFonts w:ascii="Times New Roman" w:hAnsi="Times New Roman" w:cs="Times New Roman"/>
          <w:sz w:val="24"/>
          <w:szCs w:val="24"/>
        </w:rPr>
        <w:t>,</w:t>
      </w:r>
      <w:r w:rsidR="007E6C8F" w:rsidRPr="00C20656">
        <w:rPr>
          <w:rFonts w:ascii="Times New Roman" w:hAnsi="Times New Roman" w:cs="Times New Roman"/>
          <w:sz w:val="24"/>
          <w:szCs w:val="24"/>
        </w:rPr>
        <w:t xml:space="preserve"> </w:t>
      </w:r>
      <w:r w:rsidR="001F19A1" w:rsidRPr="00C20656">
        <w:rPr>
          <w:rFonts w:ascii="Times New Roman" w:hAnsi="Times New Roman" w:cs="Times New Roman"/>
          <w:sz w:val="24"/>
          <w:szCs w:val="24"/>
        </w:rPr>
        <w:t>du Cada</w:t>
      </w:r>
      <w:r w:rsidR="007F178F" w:rsidRPr="00C20656">
        <w:rPr>
          <w:rFonts w:ascii="Times New Roman" w:hAnsi="Times New Roman" w:cs="Times New Roman"/>
          <w:sz w:val="24"/>
          <w:szCs w:val="24"/>
        </w:rPr>
        <w:t>s</w:t>
      </w:r>
      <w:r w:rsidR="001F19A1" w:rsidRPr="00C20656">
        <w:rPr>
          <w:rFonts w:ascii="Times New Roman" w:hAnsi="Times New Roman" w:cs="Times New Roman"/>
          <w:sz w:val="24"/>
          <w:szCs w:val="24"/>
        </w:rPr>
        <w:t>tre et</w:t>
      </w:r>
      <w:r w:rsidR="007F178F" w:rsidRPr="00C20656">
        <w:rPr>
          <w:rFonts w:ascii="Times New Roman" w:hAnsi="Times New Roman" w:cs="Times New Roman"/>
          <w:sz w:val="24"/>
          <w:szCs w:val="24"/>
        </w:rPr>
        <w:t xml:space="preserve"> </w:t>
      </w:r>
      <w:r w:rsidR="001F19A1" w:rsidRPr="00C20656">
        <w:rPr>
          <w:rFonts w:ascii="Times New Roman" w:hAnsi="Times New Roman" w:cs="Times New Roman"/>
          <w:sz w:val="24"/>
          <w:szCs w:val="24"/>
        </w:rPr>
        <w:t>des affaires Foncières (MINDCAF)  prend l’Arrêté n° 000466/Y7/MINDCAF/SG/D6/S120 du</w:t>
      </w:r>
      <w:r w:rsidR="007F178F" w:rsidRPr="00C20656">
        <w:rPr>
          <w:rFonts w:ascii="Times New Roman" w:hAnsi="Times New Roman" w:cs="Times New Roman"/>
          <w:sz w:val="24"/>
          <w:szCs w:val="24"/>
        </w:rPr>
        <w:t xml:space="preserve"> 13 juillet 2013  pronon</w:t>
      </w:r>
      <w:r w:rsidR="001E17FE" w:rsidRPr="00C20656">
        <w:rPr>
          <w:rFonts w:ascii="Times New Roman" w:hAnsi="Times New Roman" w:cs="Times New Roman"/>
          <w:sz w:val="24"/>
          <w:szCs w:val="24"/>
        </w:rPr>
        <w:t>çant le retrait du Titre foncier  n°40877/</w:t>
      </w:r>
      <w:proofErr w:type="spellStart"/>
      <w:proofErr w:type="gramStart"/>
      <w:r w:rsidR="001E17FE" w:rsidRPr="00C20656">
        <w:rPr>
          <w:rFonts w:ascii="Times New Roman" w:hAnsi="Times New Roman" w:cs="Times New Roman"/>
          <w:sz w:val="24"/>
          <w:szCs w:val="24"/>
        </w:rPr>
        <w:t>Mfoundi</w:t>
      </w:r>
      <w:proofErr w:type="spellEnd"/>
      <w:r w:rsidR="00834E52" w:rsidRPr="00C20656">
        <w:rPr>
          <w:rFonts w:ascii="Times New Roman" w:hAnsi="Times New Roman" w:cs="Times New Roman"/>
          <w:sz w:val="24"/>
          <w:szCs w:val="24"/>
        </w:rPr>
        <w:t xml:space="preserve"> .</w:t>
      </w:r>
      <w:proofErr w:type="gramEnd"/>
      <w:r w:rsidR="00834E52" w:rsidRPr="00C20656">
        <w:rPr>
          <w:rFonts w:ascii="Times New Roman" w:hAnsi="Times New Roman" w:cs="Times New Roman"/>
          <w:sz w:val="24"/>
          <w:szCs w:val="24"/>
        </w:rPr>
        <w:t xml:space="preserve"> Avec cet acte administratif la collectivité </w:t>
      </w:r>
      <w:proofErr w:type="spellStart"/>
      <w:r w:rsidR="00834E52" w:rsidRPr="00C20656">
        <w:rPr>
          <w:rFonts w:ascii="Times New Roman" w:hAnsi="Times New Roman" w:cs="Times New Roman"/>
          <w:sz w:val="24"/>
          <w:szCs w:val="24"/>
        </w:rPr>
        <w:t>Mvog</w:t>
      </w:r>
      <w:proofErr w:type="spellEnd"/>
      <w:r w:rsidR="00834E52" w:rsidRPr="00C20656">
        <w:rPr>
          <w:rFonts w:ascii="Times New Roman" w:hAnsi="Times New Roman" w:cs="Times New Roman"/>
          <w:sz w:val="24"/>
          <w:szCs w:val="24"/>
        </w:rPr>
        <w:t xml:space="preserve"> </w:t>
      </w:r>
      <w:proofErr w:type="spellStart"/>
      <w:r w:rsidR="00834E52" w:rsidRPr="00C20656">
        <w:rPr>
          <w:rFonts w:ascii="Times New Roman" w:hAnsi="Times New Roman" w:cs="Times New Roman"/>
          <w:sz w:val="24"/>
          <w:szCs w:val="24"/>
        </w:rPr>
        <w:t>Melingui</w:t>
      </w:r>
      <w:proofErr w:type="spellEnd"/>
      <w:r w:rsidR="00834E52" w:rsidRPr="00C20656">
        <w:rPr>
          <w:rFonts w:ascii="Times New Roman" w:hAnsi="Times New Roman" w:cs="Times New Roman"/>
          <w:sz w:val="24"/>
          <w:szCs w:val="24"/>
        </w:rPr>
        <w:t xml:space="preserve">  pouvait d’ores et déjà bén</w:t>
      </w:r>
      <w:r w:rsidR="004E185D" w:rsidRPr="00C20656">
        <w:rPr>
          <w:rFonts w:ascii="Times New Roman" w:hAnsi="Times New Roman" w:cs="Times New Roman"/>
          <w:sz w:val="24"/>
          <w:szCs w:val="24"/>
        </w:rPr>
        <w:t>éficier d’une immatriculation  sur l’espace querellé de 21 hectares.</w:t>
      </w:r>
      <w:r w:rsidR="00431FE3" w:rsidRPr="00C20656">
        <w:rPr>
          <w:rFonts w:ascii="Times New Roman" w:hAnsi="Times New Roman" w:cs="Times New Roman"/>
          <w:sz w:val="24"/>
          <w:szCs w:val="24"/>
        </w:rPr>
        <w:t xml:space="preserve"> Ainsi</w:t>
      </w:r>
      <w:r w:rsidR="004E185D" w:rsidRPr="00C20656">
        <w:rPr>
          <w:rFonts w:ascii="Times New Roman" w:hAnsi="Times New Roman" w:cs="Times New Roman"/>
          <w:sz w:val="24"/>
          <w:szCs w:val="24"/>
        </w:rPr>
        <w:t xml:space="preserve"> </w:t>
      </w:r>
      <w:r w:rsidR="00431FE3" w:rsidRPr="00C20656">
        <w:rPr>
          <w:rFonts w:ascii="Times New Roman" w:hAnsi="Times New Roman" w:cs="Times New Roman"/>
          <w:sz w:val="24"/>
          <w:szCs w:val="24"/>
        </w:rPr>
        <w:t xml:space="preserve">les </w:t>
      </w:r>
      <w:r w:rsidR="004E185D" w:rsidRPr="00C20656">
        <w:rPr>
          <w:rFonts w:ascii="Times New Roman" w:hAnsi="Times New Roman" w:cs="Times New Roman"/>
          <w:sz w:val="24"/>
          <w:szCs w:val="24"/>
        </w:rPr>
        <w:t xml:space="preserve">titres fonciers </w:t>
      </w:r>
      <w:r w:rsidR="00431FE3" w:rsidRPr="00C20656">
        <w:rPr>
          <w:rFonts w:ascii="Times New Roman" w:hAnsi="Times New Roman" w:cs="Times New Roman"/>
          <w:sz w:val="24"/>
          <w:szCs w:val="24"/>
        </w:rPr>
        <w:t xml:space="preserve"> n°02630/</w:t>
      </w:r>
      <w:proofErr w:type="spellStart"/>
      <w:r w:rsidR="00431FE3" w:rsidRPr="00C20656">
        <w:rPr>
          <w:rFonts w:ascii="Times New Roman" w:hAnsi="Times New Roman" w:cs="Times New Roman"/>
          <w:sz w:val="24"/>
          <w:szCs w:val="24"/>
        </w:rPr>
        <w:t>Mfoundi</w:t>
      </w:r>
      <w:proofErr w:type="spellEnd"/>
      <w:r w:rsidR="00431FE3" w:rsidRPr="00C20656">
        <w:rPr>
          <w:rFonts w:ascii="Times New Roman" w:hAnsi="Times New Roman" w:cs="Times New Roman"/>
          <w:sz w:val="24"/>
          <w:szCs w:val="24"/>
        </w:rPr>
        <w:t xml:space="preserve"> et n°02631/</w:t>
      </w:r>
      <w:proofErr w:type="spellStart"/>
      <w:r w:rsidR="00431FE3" w:rsidRPr="00C20656">
        <w:rPr>
          <w:rFonts w:ascii="Times New Roman" w:hAnsi="Times New Roman" w:cs="Times New Roman"/>
          <w:sz w:val="24"/>
          <w:szCs w:val="24"/>
        </w:rPr>
        <w:t>Mfoundi</w:t>
      </w:r>
      <w:proofErr w:type="spellEnd"/>
      <w:r w:rsidR="00431FE3" w:rsidRPr="00C20656">
        <w:rPr>
          <w:rFonts w:ascii="Times New Roman" w:hAnsi="Times New Roman" w:cs="Times New Roman"/>
          <w:sz w:val="24"/>
          <w:szCs w:val="24"/>
        </w:rPr>
        <w:t xml:space="preserve"> </w:t>
      </w:r>
      <w:proofErr w:type="spellStart"/>
      <w:r w:rsidR="00431FE3" w:rsidRPr="00C20656">
        <w:rPr>
          <w:rFonts w:ascii="Times New Roman" w:hAnsi="Times New Roman" w:cs="Times New Roman"/>
          <w:sz w:val="24"/>
          <w:szCs w:val="24"/>
        </w:rPr>
        <w:t>o</w:t>
      </w:r>
      <w:proofErr w:type="gramStart"/>
      <w:r w:rsidR="00431FE3" w:rsidRPr="00C20656">
        <w:rPr>
          <w:rFonts w:ascii="Times New Roman" w:hAnsi="Times New Roman" w:cs="Times New Roman"/>
          <w:sz w:val="24"/>
          <w:szCs w:val="24"/>
        </w:rPr>
        <w:t>,t</w:t>
      </w:r>
      <w:proofErr w:type="spellEnd"/>
      <w:proofErr w:type="gramEnd"/>
      <w:r w:rsidR="00431FE3" w:rsidRPr="00C20656">
        <w:rPr>
          <w:rFonts w:ascii="Times New Roman" w:hAnsi="Times New Roman" w:cs="Times New Roman"/>
          <w:sz w:val="24"/>
          <w:szCs w:val="24"/>
        </w:rPr>
        <w:t xml:space="preserve"> été délivrés au profit de la  collectivité </w:t>
      </w:r>
      <w:proofErr w:type="spellStart"/>
      <w:r w:rsidR="00431FE3" w:rsidRPr="00C20656">
        <w:rPr>
          <w:rFonts w:ascii="Times New Roman" w:hAnsi="Times New Roman" w:cs="Times New Roman"/>
          <w:sz w:val="24"/>
          <w:szCs w:val="24"/>
        </w:rPr>
        <w:t>Mvog</w:t>
      </w:r>
      <w:proofErr w:type="spellEnd"/>
      <w:r w:rsidR="00431FE3" w:rsidRPr="00C20656">
        <w:rPr>
          <w:rFonts w:ascii="Times New Roman" w:hAnsi="Times New Roman" w:cs="Times New Roman"/>
          <w:sz w:val="24"/>
          <w:szCs w:val="24"/>
        </w:rPr>
        <w:t xml:space="preserve"> </w:t>
      </w:r>
      <w:proofErr w:type="spellStart"/>
      <w:r w:rsidR="00431FE3" w:rsidRPr="00C20656">
        <w:rPr>
          <w:rFonts w:ascii="Times New Roman" w:hAnsi="Times New Roman" w:cs="Times New Roman"/>
          <w:sz w:val="24"/>
          <w:szCs w:val="24"/>
        </w:rPr>
        <w:t>Melingui</w:t>
      </w:r>
      <w:proofErr w:type="spellEnd"/>
      <w:r w:rsidR="00431FE3" w:rsidRPr="00C20656">
        <w:rPr>
          <w:rFonts w:ascii="Times New Roman" w:hAnsi="Times New Roman" w:cs="Times New Roman"/>
          <w:sz w:val="24"/>
          <w:szCs w:val="24"/>
        </w:rPr>
        <w:t>.</w:t>
      </w:r>
    </w:p>
    <w:p w:rsidR="00C47149" w:rsidRPr="00C20656" w:rsidRDefault="00EB39B6"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C’est pourtant   la troisième décision rendue par la justice qui </w:t>
      </w:r>
      <w:r w:rsidR="00AE2D37" w:rsidRPr="00C20656">
        <w:rPr>
          <w:rFonts w:ascii="Times New Roman" w:hAnsi="Times New Roman" w:cs="Times New Roman"/>
          <w:sz w:val="24"/>
          <w:szCs w:val="24"/>
        </w:rPr>
        <w:t xml:space="preserve">donne au litige  la tournure d’un imbroglio. En effet, </w:t>
      </w:r>
      <w:r w:rsidR="00327911" w:rsidRPr="00C20656">
        <w:rPr>
          <w:rFonts w:ascii="Times New Roman" w:hAnsi="Times New Roman" w:cs="Times New Roman"/>
          <w:sz w:val="24"/>
          <w:szCs w:val="24"/>
        </w:rPr>
        <w:t xml:space="preserve">il a été enregistré au greffe </w:t>
      </w:r>
      <w:r w:rsidR="00DD5A51" w:rsidRPr="00C20656">
        <w:rPr>
          <w:rFonts w:ascii="Times New Roman" w:hAnsi="Times New Roman" w:cs="Times New Roman"/>
          <w:sz w:val="24"/>
          <w:szCs w:val="24"/>
        </w:rPr>
        <w:t xml:space="preserve">du </w:t>
      </w:r>
      <w:r w:rsidR="00AE2D37" w:rsidRPr="00C20656">
        <w:rPr>
          <w:rFonts w:ascii="Times New Roman" w:hAnsi="Times New Roman" w:cs="Times New Roman"/>
          <w:sz w:val="24"/>
          <w:szCs w:val="24"/>
        </w:rPr>
        <w:t xml:space="preserve">Tribunal administratif  du Centre </w:t>
      </w:r>
      <w:r w:rsidR="001070AC" w:rsidRPr="00C20656">
        <w:rPr>
          <w:rFonts w:ascii="Times New Roman" w:hAnsi="Times New Roman" w:cs="Times New Roman"/>
          <w:sz w:val="24"/>
          <w:szCs w:val="24"/>
        </w:rPr>
        <w:t xml:space="preserve"> </w:t>
      </w:r>
      <w:r w:rsidR="00DD5A51" w:rsidRPr="00C20656">
        <w:rPr>
          <w:rFonts w:ascii="Times New Roman" w:hAnsi="Times New Roman" w:cs="Times New Roman"/>
          <w:sz w:val="24"/>
          <w:szCs w:val="24"/>
        </w:rPr>
        <w:t xml:space="preserve">une requête sous le numéro 753 </w:t>
      </w:r>
      <w:r w:rsidR="00327911" w:rsidRPr="00C20656">
        <w:rPr>
          <w:rFonts w:ascii="Times New Roman" w:hAnsi="Times New Roman" w:cs="Times New Roman"/>
          <w:sz w:val="24"/>
          <w:szCs w:val="24"/>
        </w:rPr>
        <w:t xml:space="preserve"> au nom de M</w:t>
      </w:r>
      <w:r w:rsidR="007263D4" w:rsidRPr="00C20656">
        <w:rPr>
          <w:rFonts w:ascii="Times New Roman" w:hAnsi="Times New Roman" w:cs="Times New Roman"/>
          <w:sz w:val="24"/>
          <w:szCs w:val="24"/>
        </w:rPr>
        <w:t xml:space="preserve">onsieur </w:t>
      </w:r>
      <w:proofErr w:type="spellStart"/>
      <w:r w:rsidR="007263D4" w:rsidRPr="00C20656">
        <w:rPr>
          <w:rFonts w:ascii="Times New Roman" w:hAnsi="Times New Roman" w:cs="Times New Roman"/>
          <w:sz w:val="24"/>
          <w:szCs w:val="24"/>
        </w:rPr>
        <w:t>Mebenga</w:t>
      </w:r>
      <w:proofErr w:type="spellEnd"/>
      <w:r w:rsidR="007263D4" w:rsidRPr="00C20656">
        <w:rPr>
          <w:rFonts w:ascii="Times New Roman" w:hAnsi="Times New Roman" w:cs="Times New Roman"/>
          <w:sz w:val="24"/>
          <w:szCs w:val="24"/>
        </w:rPr>
        <w:t xml:space="preserve"> François appartenant au clan </w:t>
      </w:r>
      <w:proofErr w:type="spellStart"/>
      <w:r w:rsidR="007263D4" w:rsidRPr="00C20656">
        <w:rPr>
          <w:rFonts w:ascii="Times New Roman" w:hAnsi="Times New Roman" w:cs="Times New Roman"/>
          <w:sz w:val="24"/>
          <w:szCs w:val="24"/>
        </w:rPr>
        <w:t>Mvog</w:t>
      </w:r>
      <w:proofErr w:type="spellEnd"/>
      <w:r w:rsidR="007263D4" w:rsidRPr="00C20656">
        <w:rPr>
          <w:rFonts w:ascii="Times New Roman" w:hAnsi="Times New Roman" w:cs="Times New Roman"/>
          <w:sz w:val="24"/>
          <w:szCs w:val="24"/>
        </w:rPr>
        <w:t xml:space="preserve"> </w:t>
      </w:r>
      <w:proofErr w:type="spellStart"/>
      <w:r w:rsidR="007263D4" w:rsidRPr="00C20656">
        <w:rPr>
          <w:rFonts w:ascii="Times New Roman" w:hAnsi="Times New Roman" w:cs="Times New Roman"/>
          <w:sz w:val="24"/>
          <w:szCs w:val="24"/>
        </w:rPr>
        <w:t>TsungMbala</w:t>
      </w:r>
      <w:proofErr w:type="spellEnd"/>
      <w:r w:rsidR="007263D4" w:rsidRPr="00C20656">
        <w:rPr>
          <w:rStyle w:val="Appelnotedebasdep"/>
          <w:rFonts w:ascii="Times New Roman" w:hAnsi="Times New Roman" w:cs="Times New Roman"/>
          <w:sz w:val="24"/>
          <w:szCs w:val="24"/>
        </w:rPr>
        <w:footnoteReference w:id="10"/>
      </w:r>
      <w:r w:rsidR="006E024E" w:rsidRPr="00C20656">
        <w:rPr>
          <w:rFonts w:ascii="Times New Roman" w:hAnsi="Times New Roman" w:cs="Times New Roman"/>
          <w:sz w:val="24"/>
          <w:szCs w:val="24"/>
        </w:rPr>
        <w:t xml:space="preserve"> c</w:t>
      </w:r>
      <w:r w:rsidR="003B2435" w:rsidRPr="00C20656">
        <w:rPr>
          <w:rFonts w:ascii="Times New Roman" w:hAnsi="Times New Roman" w:cs="Times New Roman"/>
          <w:sz w:val="24"/>
          <w:szCs w:val="24"/>
        </w:rPr>
        <w:t xml:space="preserve">ontre l’État du </w:t>
      </w:r>
      <w:r w:rsidR="006E024E" w:rsidRPr="00C20656">
        <w:rPr>
          <w:rFonts w:ascii="Times New Roman" w:hAnsi="Times New Roman" w:cs="Times New Roman"/>
          <w:sz w:val="24"/>
          <w:szCs w:val="24"/>
        </w:rPr>
        <w:t>Cameroun</w:t>
      </w:r>
      <w:r w:rsidR="003E641E" w:rsidRPr="00C20656">
        <w:rPr>
          <w:rFonts w:ascii="Times New Roman" w:hAnsi="Times New Roman" w:cs="Times New Roman"/>
          <w:sz w:val="24"/>
          <w:szCs w:val="24"/>
        </w:rPr>
        <w:t xml:space="preserve"> </w:t>
      </w:r>
      <w:r w:rsidR="003B2435" w:rsidRPr="00C20656">
        <w:rPr>
          <w:rFonts w:ascii="Times New Roman" w:hAnsi="Times New Roman" w:cs="Times New Roman"/>
          <w:sz w:val="24"/>
          <w:szCs w:val="24"/>
        </w:rPr>
        <w:t xml:space="preserve">   </w:t>
      </w:r>
      <w:r w:rsidR="00C94837" w:rsidRPr="00C20656">
        <w:rPr>
          <w:rFonts w:ascii="Times New Roman" w:hAnsi="Times New Roman" w:cs="Times New Roman"/>
          <w:sz w:val="24"/>
          <w:szCs w:val="24"/>
        </w:rPr>
        <w:t>Par conséquent,</w:t>
      </w:r>
      <w:r w:rsidR="003B2435" w:rsidRPr="00C20656">
        <w:rPr>
          <w:rFonts w:ascii="Times New Roman" w:hAnsi="Times New Roman" w:cs="Times New Roman"/>
          <w:sz w:val="24"/>
          <w:szCs w:val="24"/>
        </w:rPr>
        <w:t xml:space="preserve">  le litige fait  intervenir un nouveau requérant avec la même homonymie</w:t>
      </w:r>
      <w:r w:rsidR="00C94837" w:rsidRPr="00C20656">
        <w:rPr>
          <w:rFonts w:ascii="Times New Roman" w:hAnsi="Times New Roman" w:cs="Times New Roman"/>
          <w:sz w:val="24"/>
          <w:szCs w:val="24"/>
        </w:rPr>
        <w:t xml:space="preserve"> ; nous avons donc déjà affaire à deux  requérants contre l’État du Cameroun  à savoir  </w:t>
      </w:r>
      <w:proofErr w:type="spellStart"/>
      <w:r w:rsidR="00C94837" w:rsidRPr="00C20656">
        <w:rPr>
          <w:rFonts w:ascii="Times New Roman" w:hAnsi="Times New Roman" w:cs="Times New Roman"/>
          <w:sz w:val="24"/>
          <w:szCs w:val="24"/>
        </w:rPr>
        <w:t>Mebenga</w:t>
      </w:r>
      <w:proofErr w:type="spellEnd"/>
      <w:r w:rsidR="00C94837" w:rsidRPr="00C20656">
        <w:rPr>
          <w:rFonts w:ascii="Times New Roman" w:hAnsi="Times New Roman" w:cs="Times New Roman"/>
          <w:sz w:val="24"/>
          <w:szCs w:val="24"/>
        </w:rPr>
        <w:t xml:space="preserve"> </w:t>
      </w:r>
      <w:r w:rsidR="006D3743" w:rsidRPr="00C20656">
        <w:rPr>
          <w:rFonts w:ascii="Times New Roman" w:hAnsi="Times New Roman" w:cs="Times New Roman"/>
          <w:sz w:val="24"/>
          <w:szCs w:val="24"/>
        </w:rPr>
        <w:t xml:space="preserve"> Dominique  et </w:t>
      </w:r>
      <w:proofErr w:type="spellStart"/>
      <w:r w:rsidR="006D3743" w:rsidRPr="00C20656">
        <w:rPr>
          <w:rFonts w:ascii="Times New Roman" w:hAnsi="Times New Roman" w:cs="Times New Roman"/>
          <w:sz w:val="24"/>
          <w:szCs w:val="24"/>
        </w:rPr>
        <w:t>Mebenga</w:t>
      </w:r>
      <w:proofErr w:type="spellEnd"/>
      <w:r w:rsidR="006D3743" w:rsidRPr="00C20656">
        <w:rPr>
          <w:rFonts w:ascii="Times New Roman" w:hAnsi="Times New Roman" w:cs="Times New Roman"/>
          <w:sz w:val="24"/>
          <w:szCs w:val="24"/>
        </w:rPr>
        <w:t xml:space="preserve"> François</w:t>
      </w:r>
      <w:r w:rsidR="003B2435" w:rsidRPr="00C20656">
        <w:rPr>
          <w:rFonts w:ascii="Times New Roman" w:hAnsi="Times New Roman" w:cs="Times New Roman"/>
          <w:sz w:val="24"/>
          <w:szCs w:val="24"/>
        </w:rPr>
        <w:t xml:space="preserve"> </w:t>
      </w:r>
      <w:r w:rsidR="006D3743" w:rsidRPr="00C20656">
        <w:rPr>
          <w:rFonts w:ascii="Times New Roman" w:hAnsi="Times New Roman" w:cs="Times New Roman"/>
          <w:sz w:val="24"/>
          <w:szCs w:val="24"/>
        </w:rPr>
        <w:t xml:space="preserve">Ce dernier </w:t>
      </w:r>
      <w:r w:rsidR="003E641E" w:rsidRPr="00C20656">
        <w:rPr>
          <w:rFonts w:ascii="Times New Roman" w:hAnsi="Times New Roman" w:cs="Times New Roman"/>
          <w:sz w:val="24"/>
          <w:szCs w:val="24"/>
        </w:rPr>
        <w:t xml:space="preserve"> intente auprès du  Tribunal administratif du Centre </w:t>
      </w:r>
      <w:r w:rsidR="006D3743" w:rsidRPr="00C20656">
        <w:rPr>
          <w:rFonts w:ascii="Times New Roman" w:hAnsi="Times New Roman" w:cs="Times New Roman"/>
          <w:sz w:val="24"/>
          <w:szCs w:val="24"/>
        </w:rPr>
        <w:t xml:space="preserve">un recours contentieux </w:t>
      </w:r>
      <w:r w:rsidR="009B44FE" w:rsidRPr="00C20656">
        <w:rPr>
          <w:rFonts w:ascii="Times New Roman" w:hAnsi="Times New Roman" w:cs="Times New Roman"/>
          <w:sz w:val="24"/>
          <w:szCs w:val="24"/>
        </w:rPr>
        <w:t xml:space="preserve"> après un rejet implicite  du recours gracieux </w:t>
      </w:r>
      <w:r w:rsidR="0080601D" w:rsidRPr="00C20656">
        <w:rPr>
          <w:rFonts w:ascii="Times New Roman" w:hAnsi="Times New Roman" w:cs="Times New Roman"/>
          <w:sz w:val="24"/>
          <w:szCs w:val="24"/>
        </w:rPr>
        <w:t xml:space="preserve">préalable introduit au  Ministère des Domaines , du Cadastre  et des Affaires Foncières. Dans  ce recours  Monsieur </w:t>
      </w:r>
      <w:proofErr w:type="spellStart"/>
      <w:r w:rsidR="0080601D" w:rsidRPr="00C20656">
        <w:rPr>
          <w:rFonts w:ascii="Times New Roman" w:hAnsi="Times New Roman" w:cs="Times New Roman"/>
          <w:sz w:val="24"/>
          <w:szCs w:val="24"/>
        </w:rPr>
        <w:t>Mebenga</w:t>
      </w:r>
      <w:proofErr w:type="spellEnd"/>
      <w:r w:rsidR="0080601D" w:rsidRPr="00C20656">
        <w:rPr>
          <w:rFonts w:ascii="Times New Roman" w:hAnsi="Times New Roman" w:cs="Times New Roman"/>
          <w:sz w:val="24"/>
          <w:szCs w:val="24"/>
        </w:rPr>
        <w:t xml:space="preserve"> François  intente </w:t>
      </w:r>
      <w:r w:rsidR="003F27D2" w:rsidRPr="00C20656">
        <w:rPr>
          <w:rFonts w:ascii="Times New Roman" w:hAnsi="Times New Roman" w:cs="Times New Roman"/>
          <w:sz w:val="24"/>
          <w:szCs w:val="24"/>
        </w:rPr>
        <w:t>le</w:t>
      </w:r>
      <w:r w:rsidR="0080601D" w:rsidRPr="00C20656">
        <w:rPr>
          <w:rFonts w:ascii="Times New Roman" w:hAnsi="Times New Roman" w:cs="Times New Roman"/>
          <w:sz w:val="24"/>
          <w:szCs w:val="24"/>
        </w:rPr>
        <w:t xml:space="preserve"> recours </w:t>
      </w:r>
      <w:r w:rsidR="003F27D2" w:rsidRPr="00C20656">
        <w:rPr>
          <w:rFonts w:ascii="Times New Roman" w:hAnsi="Times New Roman" w:cs="Times New Roman"/>
          <w:sz w:val="24"/>
          <w:szCs w:val="24"/>
        </w:rPr>
        <w:t>n° 589/2014 le 21 mars 2014</w:t>
      </w:r>
      <w:r w:rsidR="0080601D" w:rsidRPr="00C20656">
        <w:rPr>
          <w:rFonts w:ascii="Times New Roman" w:hAnsi="Times New Roman" w:cs="Times New Roman"/>
          <w:sz w:val="24"/>
          <w:szCs w:val="24"/>
        </w:rPr>
        <w:t xml:space="preserve"> en annulation</w:t>
      </w:r>
      <w:r w:rsidR="00763F3F" w:rsidRPr="00C20656">
        <w:rPr>
          <w:rFonts w:ascii="Times New Roman" w:hAnsi="Times New Roman" w:cs="Times New Roman"/>
          <w:sz w:val="24"/>
          <w:szCs w:val="24"/>
        </w:rPr>
        <w:t xml:space="preserve"> </w:t>
      </w:r>
      <w:r w:rsidR="0049072B" w:rsidRPr="00C20656">
        <w:rPr>
          <w:rFonts w:ascii="Times New Roman" w:hAnsi="Times New Roman" w:cs="Times New Roman"/>
          <w:sz w:val="24"/>
          <w:szCs w:val="24"/>
        </w:rPr>
        <w:t xml:space="preserve">pour excès de pouvoir </w:t>
      </w:r>
      <w:r w:rsidR="006D7B74" w:rsidRPr="00C20656">
        <w:rPr>
          <w:rFonts w:ascii="Times New Roman" w:hAnsi="Times New Roman" w:cs="Times New Roman"/>
          <w:sz w:val="24"/>
          <w:szCs w:val="24"/>
        </w:rPr>
        <w:t>contre l’</w:t>
      </w:r>
      <w:r w:rsidR="0049072B" w:rsidRPr="00C20656">
        <w:rPr>
          <w:rFonts w:ascii="Times New Roman" w:hAnsi="Times New Roman" w:cs="Times New Roman"/>
          <w:sz w:val="24"/>
          <w:szCs w:val="24"/>
        </w:rPr>
        <w:t>arrêté  n°</w:t>
      </w:r>
      <w:r w:rsidR="006D7B74" w:rsidRPr="00C20656">
        <w:rPr>
          <w:rFonts w:ascii="Times New Roman" w:hAnsi="Times New Roman" w:cs="Times New Roman"/>
          <w:sz w:val="24"/>
          <w:szCs w:val="24"/>
        </w:rPr>
        <w:t xml:space="preserve"> 000466/Y</w:t>
      </w:r>
      <w:r w:rsidR="0049072B" w:rsidRPr="00C20656">
        <w:rPr>
          <w:rFonts w:ascii="Times New Roman" w:hAnsi="Times New Roman" w:cs="Times New Roman"/>
          <w:sz w:val="24"/>
          <w:szCs w:val="24"/>
        </w:rPr>
        <w:t xml:space="preserve">7/MINDCAF/SG/D6/S120 du 23 juillet  2013 </w:t>
      </w:r>
      <w:r w:rsidR="00A22B4A" w:rsidRPr="00C20656">
        <w:rPr>
          <w:rFonts w:ascii="Times New Roman" w:hAnsi="Times New Roman" w:cs="Times New Roman"/>
          <w:sz w:val="24"/>
          <w:szCs w:val="24"/>
        </w:rPr>
        <w:t xml:space="preserve"> prononçant  le retrait  du titre foncier n° 408777/</w:t>
      </w:r>
      <w:proofErr w:type="spellStart"/>
      <w:r w:rsidR="00A22B4A" w:rsidRPr="00C20656">
        <w:rPr>
          <w:rFonts w:ascii="Times New Roman" w:hAnsi="Times New Roman" w:cs="Times New Roman"/>
          <w:sz w:val="24"/>
          <w:szCs w:val="24"/>
        </w:rPr>
        <w:t>Mfoundi</w:t>
      </w:r>
      <w:proofErr w:type="spellEnd"/>
      <w:r w:rsidR="00A22B4A" w:rsidRPr="00C20656">
        <w:rPr>
          <w:rFonts w:ascii="Times New Roman" w:hAnsi="Times New Roman" w:cs="Times New Roman"/>
          <w:sz w:val="24"/>
          <w:szCs w:val="24"/>
        </w:rPr>
        <w:t xml:space="preserve">  établi</w:t>
      </w:r>
      <w:r w:rsidR="003B2435" w:rsidRPr="00C20656">
        <w:rPr>
          <w:rFonts w:ascii="Times New Roman" w:hAnsi="Times New Roman" w:cs="Times New Roman"/>
          <w:sz w:val="24"/>
          <w:szCs w:val="24"/>
        </w:rPr>
        <w:t xml:space="preserve"> au profit du Ministère  de la R</w:t>
      </w:r>
      <w:r w:rsidR="00A22B4A" w:rsidRPr="00C20656">
        <w:rPr>
          <w:rFonts w:ascii="Times New Roman" w:hAnsi="Times New Roman" w:cs="Times New Roman"/>
          <w:sz w:val="24"/>
          <w:szCs w:val="24"/>
        </w:rPr>
        <w:t>eche</w:t>
      </w:r>
      <w:r w:rsidR="003B2435" w:rsidRPr="00C20656">
        <w:rPr>
          <w:rFonts w:ascii="Times New Roman" w:hAnsi="Times New Roman" w:cs="Times New Roman"/>
          <w:sz w:val="24"/>
          <w:szCs w:val="24"/>
        </w:rPr>
        <w:t>rche S</w:t>
      </w:r>
      <w:r w:rsidR="00A22B4A" w:rsidRPr="00C20656">
        <w:rPr>
          <w:rFonts w:ascii="Times New Roman" w:hAnsi="Times New Roman" w:cs="Times New Roman"/>
          <w:sz w:val="24"/>
          <w:szCs w:val="24"/>
        </w:rPr>
        <w:t>cientifique  et de l’</w:t>
      </w:r>
      <w:r w:rsidR="003B2435" w:rsidRPr="00C20656">
        <w:rPr>
          <w:rFonts w:ascii="Times New Roman" w:hAnsi="Times New Roman" w:cs="Times New Roman"/>
          <w:sz w:val="24"/>
          <w:szCs w:val="24"/>
        </w:rPr>
        <w:t>I</w:t>
      </w:r>
      <w:r w:rsidR="00A22B4A" w:rsidRPr="00C20656">
        <w:rPr>
          <w:rFonts w:ascii="Times New Roman" w:hAnsi="Times New Roman" w:cs="Times New Roman"/>
          <w:sz w:val="24"/>
          <w:szCs w:val="24"/>
        </w:rPr>
        <w:t>nnovation  pour le compte de l’IRAD.</w:t>
      </w:r>
      <w:r w:rsidR="003F27D2" w:rsidRPr="00C20656">
        <w:rPr>
          <w:rFonts w:ascii="Times New Roman" w:hAnsi="Times New Roman" w:cs="Times New Roman"/>
          <w:sz w:val="24"/>
          <w:szCs w:val="24"/>
        </w:rPr>
        <w:t xml:space="preserve"> </w:t>
      </w:r>
      <w:r w:rsidR="00BF78EF" w:rsidRPr="00C20656">
        <w:rPr>
          <w:rFonts w:ascii="Times New Roman" w:hAnsi="Times New Roman" w:cs="Times New Roman"/>
          <w:sz w:val="24"/>
          <w:szCs w:val="24"/>
        </w:rPr>
        <w:t>En effet</w:t>
      </w:r>
      <w:r w:rsidR="003F27D2" w:rsidRPr="00C20656">
        <w:rPr>
          <w:rFonts w:ascii="Times New Roman" w:hAnsi="Times New Roman" w:cs="Times New Roman"/>
          <w:sz w:val="24"/>
          <w:szCs w:val="24"/>
        </w:rPr>
        <w:t xml:space="preserve">, </w:t>
      </w:r>
      <w:r w:rsidR="00BF78EF" w:rsidRPr="00C20656">
        <w:rPr>
          <w:rFonts w:ascii="Times New Roman" w:hAnsi="Times New Roman" w:cs="Times New Roman"/>
          <w:sz w:val="24"/>
          <w:szCs w:val="24"/>
        </w:rPr>
        <w:t>selon le</w:t>
      </w:r>
      <w:r w:rsidR="003F27D2" w:rsidRPr="00C20656">
        <w:rPr>
          <w:rFonts w:ascii="Times New Roman" w:hAnsi="Times New Roman" w:cs="Times New Roman"/>
          <w:sz w:val="24"/>
          <w:szCs w:val="24"/>
        </w:rPr>
        <w:t xml:space="preserve"> </w:t>
      </w:r>
      <w:r w:rsidR="00BF78EF" w:rsidRPr="00C20656">
        <w:rPr>
          <w:rFonts w:ascii="Times New Roman" w:hAnsi="Times New Roman" w:cs="Times New Roman"/>
          <w:sz w:val="24"/>
          <w:szCs w:val="24"/>
        </w:rPr>
        <w:t>requérant cet</w:t>
      </w:r>
      <w:r w:rsidR="003F27D2" w:rsidRPr="00C20656">
        <w:rPr>
          <w:rFonts w:ascii="Times New Roman" w:hAnsi="Times New Roman" w:cs="Times New Roman"/>
          <w:sz w:val="24"/>
          <w:szCs w:val="24"/>
        </w:rPr>
        <w:t xml:space="preserve"> acte administratif a manifestement violé la </w:t>
      </w:r>
      <w:r w:rsidR="00BF78EF" w:rsidRPr="00C20656">
        <w:rPr>
          <w:rFonts w:ascii="Times New Roman" w:hAnsi="Times New Roman" w:cs="Times New Roman"/>
          <w:sz w:val="24"/>
          <w:szCs w:val="24"/>
        </w:rPr>
        <w:t>loi en</w:t>
      </w:r>
      <w:r w:rsidR="00635FFD" w:rsidRPr="00C20656">
        <w:rPr>
          <w:rFonts w:ascii="Times New Roman" w:hAnsi="Times New Roman" w:cs="Times New Roman"/>
          <w:sz w:val="24"/>
          <w:szCs w:val="24"/>
        </w:rPr>
        <w:t xml:space="preserve"> détournant l’exécution </w:t>
      </w:r>
      <w:r w:rsidR="003F27D2" w:rsidRPr="00C20656">
        <w:rPr>
          <w:rFonts w:ascii="Times New Roman" w:hAnsi="Times New Roman" w:cs="Times New Roman"/>
          <w:sz w:val="24"/>
          <w:szCs w:val="24"/>
        </w:rPr>
        <w:t xml:space="preserve">de la grosse dûment  exécutoire du jugement n°81/2012/CA/CS du 20 juin  2012 par lequel la Cour </w:t>
      </w:r>
      <w:r w:rsidR="00F61930" w:rsidRPr="00C20656">
        <w:rPr>
          <w:rFonts w:ascii="Times New Roman" w:hAnsi="Times New Roman" w:cs="Times New Roman"/>
          <w:sz w:val="24"/>
          <w:szCs w:val="24"/>
        </w:rPr>
        <w:t>Suprême</w:t>
      </w:r>
      <w:r w:rsidR="003F27D2" w:rsidRPr="00C20656">
        <w:rPr>
          <w:rFonts w:ascii="Times New Roman" w:hAnsi="Times New Roman" w:cs="Times New Roman"/>
          <w:sz w:val="24"/>
          <w:szCs w:val="24"/>
        </w:rPr>
        <w:t xml:space="preserve">  a annulé le Titre Foncier  n°40877/MFOUNDI appartena</w:t>
      </w:r>
      <w:r w:rsidR="00F61930" w:rsidRPr="00C20656">
        <w:rPr>
          <w:rFonts w:ascii="Times New Roman" w:hAnsi="Times New Roman" w:cs="Times New Roman"/>
          <w:sz w:val="24"/>
          <w:szCs w:val="24"/>
        </w:rPr>
        <w:t>n</w:t>
      </w:r>
      <w:r w:rsidR="003F27D2" w:rsidRPr="00C20656">
        <w:rPr>
          <w:rFonts w:ascii="Times New Roman" w:hAnsi="Times New Roman" w:cs="Times New Roman"/>
          <w:sz w:val="24"/>
          <w:szCs w:val="24"/>
        </w:rPr>
        <w:t>t  à</w:t>
      </w:r>
      <w:r w:rsidR="00F61930" w:rsidRPr="00C20656">
        <w:rPr>
          <w:rFonts w:ascii="Times New Roman" w:hAnsi="Times New Roman" w:cs="Times New Roman"/>
          <w:sz w:val="24"/>
          <w:szCs w:val="24"/>
        </w:rPr>
        <w:t xml:space="preserve"> </w:t>
      </w:r>
      <w:r w:rsidR="003F27D2" w:rsidRPr="00C20656">
        <w:rPr>
          <w:rFonts w:ascii="Times New Roman" w:hAnsi="Times New Roman" w:cs="Times New Roman"/>
          <w:sz w:val="24"/>
          <w:szCs w:val="24"/>
        </w:rPr>
        <w:t>l’IRAD</w:t>
      </w:r>
      <w:r w:rsidR="00F61930" w:rsidRPr="00C20656">
        <w:rPr>
          <w:rFonts w:ascii="Times New Roman" w:hAnsi="Times New Roman" w:cs="Times New Roman"/>
          <w:sz w:val="24"/>
          <w:szCs w:val="24"/>
        </w:rPr>
        <w:t xml:space="preserve">, pour permettre aux collectivités coutumières autochtones, de jouir de leurs droits immobiliers régulièrement  constatés  par la commission consultative. Mais au lieu d’appliquer purement et </w:t>
      </w:r>
      <w:r w:rsidR="007B626F" w:rsidRPr="00C20656">
        <w:rPr>
          <w:rFonts w:ascii="Times New Roman" w:hAnsi="Times New Roman" w:cs="Times New Roman"/>
          <w:sz w:val="24"/>
          <w:szCs w:val="24"/>
        </w:rPr>
        <w:t>simplement la</w:t>
      </w:r>
      <w:r w:rsidR="00635FFD" w:rsidRPr="00C20656">
        <w:rPr>
          <w:rFonts w:ascii="Times New Roman" w:hAnsi="Times New Roman" w:cs="Times New Roman"/>
          <w:sz w:val="24"/>
          <w:szCs w:val="24"/>
        </w:rPr>
        <w:t xml:space="preserve"> décision</w:t>
      </w:r>
      <w:r w:rsidR="00F61930" w:rsidRPr="00C20656">
        <w:rPr>
          <w:rFonts w:ascii="Times New Roman" w:hAnsi="Times New Roman" w:cs="Times New Roman"/>
          <w:sz w:val="24"/>
          <w:szCs w:val="24"/>
        </w:rPr>
        <w:t xml:space="preserve"> de la Cour Suprême en prononçant  le retrait  du titre foncier  annulé et en </w:t>
      </w:r>
      <w:r w:rsidR="007B626F" w:rsidRPr="00C20656">
        <w:rPr>
          <w:rFonts w:ascii="Times New Roman" w:hAnsi="Times New Roman" w:cs="Times New Roman"/>
          <w:sz w:val="24"/>
          <w:szCs w:val="24"/>
        </w:rPr>
        <w:t>réintégrant</w:t>
      </w:r>
      <w:r w:rsidR="00F61930" w:rsidRPr="00C20656">
        <w:rPr>
          <w:rFonts w:ascii="Times New Roman" w:hAnsi="Times New Roman" w:cs="Times New Roman"/>
          <w:sz w:val="24"/>
          <w:szCs w:val="24"/>
        </w:rPr>
        <w:t xml:space="preserve">  le terrain  objet dudit titre  dans le domaine national  comme le prévoit  la loi</w:t>
      </w:r>
      <w:r w:rsidR="007B626F" w:rsidRPr="00C20656">
        <w:rPr>
          <w:rFonts w:ascii="Times New Roman" w:hAnsi="Times New Roman" w:cs="Times New Roman"/>
          <w:sz w:val="24"/>
          <w:szCs w:val="24"/>
        </w:rPr>
        <w:t xml:space="preserve">, le MINDCAF  a dans l’article 4 de cet arrêté  cru pouvoir réordonner  la délivrance  d’un nouveau titre foncier  à l’IRAD sur le même  terrain  au mépris des droits </w:t>
      </w:r>
      <w:r w:rsidR="00635FFD" w:rsidRPr="00C20656">
        <w:rPr>
          <w:rFonts w:ascii="Times New Roman" w:hAnsi="Times New Roman" w:cs="Times New Roman"/>
          <w:sz w:val="24"/>
          <w:szCs w:val="24"/>
        </w:rPr>
        <w:t xml:space="preserve">des populations. Alors que les raisons </w:t>
      </w:r>
      <w:r w:rsidR="007B626F" w:rsidRPr="00C20656">
        <w:rPr>
          <w:rFonts w:ascii="Times New Roman" w:hAnsi="Times New Roman" w:cs="Times New Roman"/>
          <w:sz w:val="24"/>
          <w:szCs w:val="24"/>
        </w:rPr>
        <w:t>qui ont justifié  l’annulation  du précédent  Titre foncier  de la Cour Suprême demeurent.</w:t>
      </w:r>
      <w:r w:rsidR="00B1031A" w:rsidRPr="00C20656">
        <w:rPr>
          <w:rFonts w:ascii="Times New Roman" w:hAnsi="Times New Roman" w:cs="Times New Roman"/>
          <w:sz w:val="24"/>
          <w:szCs w:val="24"/>
        </w:rPr>
        <w:t xml:space="preserve"> Dans le </w:t>
      </w:r>
      <w:r w:rsidR="00B1031A" w:rsidRPr="00C20656">
        <w:rPr>
          <w:rFonts w:ascii="Times New Roman" w:hAnsi="Times New Roman" w:cs="Times New Roman"/>
          <w:sz w:val="24"/>
          <w:szCs w:val="24"/>
        </w:rPr>
        <w:lastRenderedPageBreak/>
        <w:t>jugement n°159/2018/TA/YDE l</w:t>
      </w:r>
      <w:r w:rsidR="007B626F" w:rsidRPr="00C20656">
        <w:rPr>
          <w:rFonts w:ascii="Times New Roman" w:hAnsi="Times New Roman" w:cs="Times New Roman"/>
          <w:sz w:val="24"/>
          <w:szCs w:val="24"/>
        </w:rPr>
        <w:t>e Tribu</w:t>
      </w:r>
      <w:r w:rsidR="00B1031A" w:rsidRPr="00C20656">
        <w:rPr>
          <w:rFonts w:ascii="Times New Roman" w:hAnsi="Times New Roman" w:cs="Times New Roman"/>
          <w:sz w:val="24"/>
          <w:szCs w:val="24"/>
        </w:rPr>
        <w:t xml:space="preserve">nal </w:t>
      </w:r>
      <w:r w:rsidR="00D865FD" w:rsidRPr="00C20656">
        <w:rPr>
          <w:rFonts w:ascii="Times New Roman" w:hAnsi="Times New Roman" w:cs="Times New Roman"/>
          <w:sz w:val="24"/>
          <w:szCs w:val="24"/>
        </w:rPr>
        <w:t>décide</w:t>
      </w:r>
      <w:r w:rsidR="00635FFD" w:rsidRPr="00C20656">
        <w:rPr>
          <w:rFonts w:ascii="Times New Roman" w:hAnsi="Times New Roman" w:cs="Times New Roman"/>
          <w:sz w:val="24"/>
          <w:szCs w:val="24"/>
        </w:rPr>
        <w:t xml:space="preserve"> </w:t>
      </w:r>
      <w:r w:rsidR="00B1031A" w:rsidRPr="00C20656">
        <w:rPr>
          <w:rFonts w:ascii="Times New Roman" w:hAnsi="Times New Roman" w:cs="Times New Roman"/>
          <w:sz w:val="24"/>
          <w:szCs w:val="24"/>
        </w:rPr>
        <w:t>la receva</w:t>
      </w:r>
      <w:r w:rsidR="00D865FD" w:rsidRPr="00C20656">
        <w:rPr>
          <w:rFonts w:ascii="Times New Roman" w:hAnsi="Times New Roman" w:cs="Times New Roman"/>
          <w:sz w:val="24"/>
          <w:szCs w:val="24"/>
        </w:rPr>
        <w:t>bi</w:t>
      </w:r>
      <w:r w:rsidR="00B1031A" w:rsidRPr="00C20656">
        <w:rPr>
          <w:rFonts w:ascii="Times New Roman" w:hAnsi="Times New Roman" w:cs="Times New Roman"/>
          <w:sz w:val="24"/>
          <w:szCs w:val="24"/>
        </w:rPr>
        <w:t xml:space="preserve">lité </w:t>
      </w:r>
      <w:r w:rsidR="00D865FD" w:rsidRPr="00C20656">
        <w:rPr>
          <w:rFonts w:ascii="Times New Roman" w:hAnsi="Times New Roman" w:cs="Times New Roman"/>
          <w:sz w:val="24"/>
          <w:szCs w:val="24"/>
        </w:rPr>
        <w:t xml:space="preserve"> du recours de </w:t>
      </w:r>
      <w:proofErr w:type="spellStart"/>
      <w:r w:rsidR="00D865FD" w:rsidRPr="00C20656">
        <w:rPr>
          <w:rFonts w:ascii="Times New Roman" w:hAnsi="Times New Roman" w:cs="Times New Roman"/>
          <w:sz w:val="24"/>
          <w:szCs w:val="24"/>
        </w:rPr>
        <w:t>Mebenga</w:t>
      </w:r>
      <w:proofErr w:type="spellEnd"/>
      <w:r w:rsidR="00D865FD" w:rsidRPr="00C20656">
        <w:rPr>
          <w:rFonts w:ascii="Times New Roman" w:hAnsi="Times New Roman" w:cs="Times New Roman"/>
          <w:sz w:val="24"/>
          <w:szCs w:val="24"/>
        </w:rPr>
        <w:t xml:space="preserve"> François (article1</w:t>
      </w:r>
      <w:r w:rsidR="00D865FD" w:rsidRPr="00C20656">
        <w:rPr>
          <w:rFonts w:ascii="Times New Roman" w:hAnsi="Times New Roman" w:cs="Times New Roman"/>
          <w:sz w:val="24"/>
          <w:szCs w:val="24"/>
          <w:vertAlign w:val="superscript"/>
        </w:rPr>
        <w:t>er</w:t>
      </w:r>
      <w:r w:rsidR="00D865FD" w:rsidRPr="00C20656">
        <w:rPr>
          <w:rFonts w:ascii="Times New Roman" w:hAnsi="Times New Roman" w:cs="Times New Roman"/>
          <w:sz w:val="24"/>
          <w:szCs w:val="24"/>
        </w:rPr>
        <w:t>), l’annulation de l’arrêté n°000466/y7/</w:t>
      </w:r>
      <w:r w:rsidR="00213F77" w:rsidRPr="00C20656">
        <w:rPr>
          <w:rFonts w:ascii="Times New Roman" w:hAnsi="Times New Roman" w:cs="Times New Roman"/>
          <w:sz w:val="24"/>
          <w:szCs w:val="24"/>
        </w:rPr>
        <w:t>MINDCAF</w:t>
      </w:r>
      <w:r w:rsidR="00D865FD" w:rsidRPr="00C20656">
        <w:rPr>
          <w:rFonts w:ascii="Times New Roman" w:hAnsi="Times New Roman" w:cs="Times New Roman"/>
          <w:sz w:val="24"/>
          <w:szCs w:val="24"/>
        </w:rPr>
        <w:t>/</w:t>
      </w:r>
      <w:r w:rsidR="00213F77" w:rsidRPr="00C20656">
        <w:rPr>
          <w:rFonts w:ascii="Times New Roman" w:hAnsi="Times New Roman" w:cs="Times New Roman"/>
          <w:sz w:val="24"/>
          <w:szCs w:val="24"/>
        </w:rPr>
        <w:t>SG</w:t>
      </w:r>
      <w:r w:rsidR="00D865FD" w:rsidRPr="00C20656">
        <w:rPr>
          <w:rFonts w:ascii="Times New Roman" w:hAnsi="Times New Roman" w:cs="Times New Roman"/>
          <w:sz w:val="24"/>
          <w:szCs w:val="24"/>
        </w:rPr>
        <w:t>/</w:t>
      </w:r>
      <w:r w:rsidR="00213F77" w:rsidRPr="00C20656">
        <w:rPr>
          <w:rFonts w:ascii="Times New Roman" w:hAnsi="Times New Roman" w:cs="Times New Roman"/>
          <w:sz w:val="24"/>
          <w:szCs w:val="24"/>
        </w:rPr>
        <w:t>D6</w:t>
      </w:r>
      <w:r w:rsidR="00D865FD" w:rsidRPr="00C20656">
        <w:rPr>
          <w:rFonts w:ascii="Times New Roman" w:hAnsi="Times New Roman" w:cs="Times New Roman"/>
          <w:sz w:val="24"/>
          <w:szCs w:val="24"/>
        </w:rPr>
        <w:t>/</w:t>
      </w:r>
      <w:r w:rsidR="00213F77" w:rsidRPr="00C20656">
        <w:rPr>
          <w:rFonts w:ascii="Times New Roman" w:hAnsi="Times New Roman" w:cs="Times New Roman"/>
          <w:sz w:val="24"/>
          <w:szCs w:val="24"/>
        </w:rPr>
        <w:t xml:space="preserve">S120 </w:t>
      </w:r>
      <w:r w:rsidR="00D865FD" w:rsidRPr="00C20656">
        <w:rPr>
          <w:rFonts w:ascii="Times New Roman" w:hAnsi="Times New Roman" w:cs="Times New Roman"/>
          <w:sz w:val="24"/>
          <w:szCs w:val="24"/>
        </w:rPr>
        <w:t>du 23 juillet 2013 prononçant  le retrait du titre foncier n°</w:t>
      </w:r>
      <w:r w:rsidR="00B1031A" w:rsidRPr="00C20656">
        <w:rPr>
          <w:rFonts w:ascii="Times New Roman" w:hAnsi="Times New Roman" w:cs="Times New Roman"/>
          <w:sz w:val="24"/>
          <w:szCs w:val="24"/>
        </w:rPr>
        <w:t xml:space="preserve"> </w:t>
      </w:r>
      <w:r w:rsidR="00D865FD" w:rsidRPr="00C20656">
        <w:rPr>
          <w:rFonts w:ascii="Times New Roman" w:hAnsi="Times New Roman" w:cs="Times New Roman"/>
          <w:sz w:val="24"/>
          <w:szCs w:val="24"/>
        </w:rPr>
        <w:t>40877/</w:t>
      </w:r>
      <w:proofErr w:type="spellStart"/>
      <w:r w:rsidR="00D865FD" w:rsidRPr="00C20656">
        <w:rPr>
          <w:rFonts w:ascii="Times New Roman" w:hAnsi="Times New Roman" w:cs="Times New Roman"/>
          <w:sz w:val="24"/>
          <w:szCs w:val="24"/>
        </w:rPr>
        <w:t>Mfoundi</w:t>
      </w:r>
      <w:proofErr w:type="spellEnd"/>
      <w:r w:rsidR="00D865FD" w:rsidRPr="00C20656">
        <w:rPr>
          <w:rFonts w:ascii="Times New Roman" w:hAnsi="Times New Roman" w:cs="Times New Roman"/>
          <w:sz w:val="24"/>
          <w:szCs w:val="24"/>
        </w:rPr>
        <w:t xml:space="preserve"> établi  au Ministère de la Recherche  Scientifique  et de l’Innovation pour le compte de l’IRAD </w:t>
      </w:r>
      <w:r w:rsidR="00213F77" w:rsidRPr="00C20656">
        <w:rPr>
          <w:rFonts w:ascii="Times New Roman" w:hAnsi="Times New Roman" w:cs="Times New Roman"/>
          <w:sz w:val="24"/>
          <w:szCs w:val="24"/>
        </w:rPr>
        <w:t>(Article 2), et déclare son incompétence pour connaitre  de la demande  de délivrance  des titres fonciers au profit</w:t>
      </w:r>
      <w:r w:rsidR="007A275A" w:rsidRPr="00C20656">
        <w:rPr>
          <w:rFonts w:ascii="Times New Roman" w:hAnsi="Times New Roman" w:cs="Times New Roman"/>
          <w:sz w:val="24"/>
          <w:szCs w:val="24"/>
        </w:rPr>
        <w:t xml:space="preserve"> </w:t>
      </w:r>
      <w:r w:rsidR="00213F77" w:rsidRPr="00C20656">
        <w:rPr>
          <w:rFonts w:ascii="Times New Roman" w:hAnsi="Times New Roman" w:cs="Times New Roman"/>
          <w:sz w:val="24"/>
          <w:szCs w:val="24"/>
        </w:rPr>
        <w:t>des familles autochtones (Article3)</w:t>
      </w:r>
      <w:r w:rsidR="00DA3C02" w:rsidRPr="00C20656">
        <w:rPr>
          <w:rFonts w:ascii="Times New Roman" w:hAnsi="Times New Roman" w:cs="Times New Roman"/>
          <w:sz w:val="24"/>
          <w:szCs w:val="24"/>
        </w:rPr>
        <w:t>.</w:t>
      </w:r>
    </w:p>
    <w:p w:rsidR="00DA3C02" w:rsidRPr="00C20656" w:rsidRDefault="00DA3C02" w:rsidP="00C20656">
      <w:pPr>
        <w:tabs>
          <w:tab w:val="left" w:pos="435"/>
          <w:tab w:val="left" w:pos="1860"/>
        </w:tabs>
        <w:spacing w:after="0" w:line="240" w:lineRule="auto"/>
        <w:jc w:val="both"/>
        <w:rPr>
          <w:rFonts w:ascii="Times New Roman" w:hAnsi="Times New Roman" w:cs="Times New Roman"/>
          <w:sz w:val="24"/>
          <w:szCs w:val="24"/>
        </w:rPr>
      </w:pPr>
    </w:p>
    <w:p w:rsidR="001A676A" w:rsidRPr="00C20656" w:rsidRDefault="003D4183" w:rsidP="00C20656">
      <w:pPr>
        <w:pStyle w:val="Paragraphedeliste"/>
        <w:numPr>
          <w:ilvl w:val="0"/>
          <w:numId w:val="6"/>
        </w:numPr>
        <w:tabs>
          <w:tab w:val="left" w:pos="435"/>
          <w:tab w:val="left" w:pos="1860"/>
        </w:tabs>
        <w:spacing w:after="0" w:line="240" w:lineRule="auto"/>
        <w:jc w:val="both"/>
        <w:rPr>
          <w:rFonts w:ascii="Times New Roman" w:hAnsi="Times New Roman" w:cs="Times New Roman"/>
          <w:b/>
          <w:sz w:val="24"/>
          <w:szCs w:val="24"/>
        </w:rPr>
      </w:pPr>
      <w:r w:rsidRPr="00C20656">
        <w:rPr>
          <w:rFonts w:ascii="Times New Roman" w:hAnsi="Times New Roman" w:cs="Times New Roman"/>
          <w:b/>
          <w:sz w:val="24"/>
          <w:szCs w:val="24"/>
        </w:rPr>
        <w:t>Inévitable</w:t>
      </w:r>
      <w:r w:rsidR="007A275A" w:rsidRPr="00C20656">
        <w:rPr>
          <w:rFonts w:ascii="Times New Roman" w:hAnsi="Times New Roman" w:cs="Times New Roman"/>
          <w:sz w:val="24"/>
          <w:szCs w:val="24"/>
        </w:rPr>
        <w:t xml:space="preserve"> </w:t>
      </w:r>
      <w:r w:rsidR="00341C81" w:rsidRPr="00C20656">
        <w:rPr>
          <w:rFonts w:ascii="Times New Roman" w:hAnsi="Times New Roman" w:cs="Times New Roman"/>
          <w:b/>
          <w:sz w:val="24"/>
          <w:szCs w:val="24"/>
        </w:rPr>
        <w:t>a</w:t>
      </w:r>
      <w:r w:rsidR="007A275A" w:rsidRPr="00C20656">
        <w:rPr>
          <w:rFonts w:ascii="Times New Roman" w:hAnsi="Times New Roman" w:cs="Times New Roman"/>
          <w:b/>
          <w:sz w:val="24"/>
          <w:szCs w:val="24"/>
        </w:rPr>
        <w:t>liénation des espaces urbain et péri-urbain par le</w:t>
      </w:r>
      <w:r w:rsidRPr="00C20656">
        <w:rPr>
          <w:rFonts w:ascii="Times New Roman" w:hAnsi="Times New Roman" w:cs="Times New Roman"/>
          <w:b/>
          <w:sz w:val="24"/>
          <w:szCs w:val="24"/>
        </w:rPr>
        <w:t>ur</w:t>
      </w:r>
      <w:r w:rsidR="007A275A" w:rsidRPr="00C20656">
        <w:rPr>
          <w:rFonts w:ascii="Times New Roman" w:hAnsi="Times New Roman" w:cs="Times New Roman"/>
          <w:b/>
          <w:sz w:val="24"/>
          <w:szCs w:val="24"/>
        </w:rPr>
        <w:t xml:space="preserve">s détenteurs coutumiers </w:t>
      </w:r>
    </w:p>
    <w:p w:rsidR="007A275A" w:rsidRPr="00C20656" w:rsidRDefault="007A275A" w:rsidP="00C20656">
      <w:pPr>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w:t>
      </w:r>
      <w:r w:rsidR="00A37A07" w:rsidRPr="00C20656">
        <w:rPr>
          <w:rFonts w:ascii="Times New Roman" w:hAnsi="Times New Roman" w:cs="Times New Roman"/>
          <w:sz w:val="24"/>
          <w:szCs w:val="24"/>
        </w:rPr>
        <w:t xml:space="preserve">Le désignatif </w:t>
      </w:r>
      <w:proofErr w:type="gramStart"/>
      <w:r w:rsidRPr="00C20656">
        <w:rPr>
          <w:rFonts w:ascii="Times New Roman" w:hAnsi="Times New Roman" w:cs="Times New Roman"/>
          <w:i/>
          <w:sz w:val="24"/>
          <w:szCs w:val="24"/>
        </w:rPr>
        <w:t>détenteurs coutumiers</w:t>
      </w:r>
      <w:proofErr w:type="gramEnd"/>
      <w:r w:rsidRPr="00C20656">
        <w:rPr>
          <w:rFonts w:ascii="Times New Roman" w:hAnsi="Times New Roman" w:cs="Times New Roman"/>
          <w:sz w:val="24"/>
          <w:szCs w:val="24"/>
        </w:rPr>
        <w:t xml:space="preserve"> est consensuel devant l’âpre débat qui a toujours existé sur les</w:t>
      </w:r>
      <w:r w:rsidR="007E6C8F" w:rsidRPr="00C20656">
        <w:rPr>
          <w:rFonts w:ascii="Times New Roman" w:hAnsi="Times New Roman" w:cs="Times New Roman"/>
          <w:sz w:val="24"/>
          <w:szCs w:val="24"/>
        </w:rPr>
        <w:t xml:space="preserve"> premiers habitants véritables </w:t>
      </w:r>
      <w:r w:rsidRPr="00C20656">
        <w:rPr>
          <w:rFonts w:ascii="Times New Roman" w:hAnsi="Times New Roman" w:cs="Times New Roman"/>
          <w:sz w:val="24"/>
          <w:szCs w:val="24"/>
        </w:rPr>
        <w:t>des milieux urbanisés.</w:t>
      </w:r>
      <w:r w:rsidRPr="00C20656">
        <w:rPr>
          <w:rFonts w:ascii="Times New Roman" w:hAnsi="Times New Roman" w:cs="Times New Roman"/>
          <w:i/>
          <w:sz w:val="24"/>
          <w:szCs w:val="24"/>
        </w:rPr>
        <w:t xml:space="preserve"> </w:t>
      </w:r>
      <w:r w:rsidRPr="00C20656">
        <w:rPr>
          <w:rFonts w:ascii="Times New Roman" w:hAnsi="Times New Roman" w:cs="Times New Roman"/>
          <w:sz w:val="24"/>
          <w:szCs w:val="24"/>
        </w:rPr>
        <w:t xml:space="preserve">S’il leur est contesté le statut d’autochtone selon la critériologie des Nations Unies on ne saurait leur dénier le qualificatif de détenteurs </w:t>
      </w:r>
      <w:r w:rsidR="00CA46B2" w:rsidRPr="00C20656">
        <w:rPr>
          <w:rFonts w:ascii="Times New Roman" w:hAnsi="Times New Roman" w:cs="Times New Roman"/>
          <w:sz w:val="24"/>
          <w:szCs w:val="24"/>
        </w:rPr>
        <w:t xml:space="preserve">coutumiers En effet, ces clans </w:t>
      </w:r>
      <w:r w:rsidRPr="00C20656">
        <w:rPr>
          <w:rFonts w:ascii="Times New Roman" w:hAnsi="Times New Roman" w:cs="Times New Roman"/>
          <w:sz w:val="24"/>
          <w:szCs w:val="24"/>
        </w:rPr>
        <w:t>détiennent</w:t>
      </w:r>
      <w:r w:rsidR="007E6C8F" w:rsidRPr="00C20656">
        <w:rPr>
          <w:rFonts w:ascii="Times New Roman" w:hAnsi="Times New Roman" w:cs="Times New Roman"/>
          <w:sz w:val="24"/>
          <w:szCs w:val="24"/>
        </w:rPr>
        <w:t xml:space="preserve"> sur ces espaces l’exclusivité </w:t>
      </w:r>
      <w:r w:rsidR="00635FFD" w:rsidRPr="00C20656">
        <w:rPr>
          <w:rFonts w:ascii="Times New Roman" w:hAnsi="Times New Roman" w:cs="Times New Roman"/>
          <w:sz w:val="24"/>
          <w:szCs w:val="24"/>
        </w:rPr>
        <w:t xml:space="preserve">des usages culturels </w:t>
      </w:r>
      <w:r w:rsidRPr="00C20656">
        <w:rPr>
          <w:rFonts w:ascii="Times New Roman" w:hAnsi="Times New Roman" w:cs="Times New Roman"/>
          <w:sz w:val="24"/>
          <w:szCs w:val="24"/>
        </w:rPr>
        <w:t xml:space="preserve">lors du  premier contact avec le colonisateur européen L’ancrage traditionnel  n’est </w:t>
      </w:r>
      <w:r w:rsidR="008774A6" w:rsidRPr="00C20656">
        <w:rPr>
          <w:rFonts w:ascii="Times New Roman" w:hAnsi="Times New Roman" w:cs="Times New Roman"/>
          <w:sz w:val="24"/>
          <w:szCs w:val="24"/>
        </w:rPr>
        <w:t>réservé</w:t>
      </w:r>
      <w:r w:rsidRPr="00C20656">
        <w:rPr>
          <w:rFonts w:ascii="Times New Roman" w:hAnsi="Times New Roman" w:cs="Times New Roman"/>
          <w:sz w:val="24"/>
          <w:szCs w:val="24"/>
        </w:rPr>
        <w:t xml:space="preserve"> qu’à ces clans qui sont installés sur ces espaces devenus aujourd’hui des grandes zones urbaines</w:t>
      </w:r>
      <w:r w:rsidR="00A37A07" w:rsidRPr="00C20656">
        <w:rPr>
          <w:rFonts w:ascii="Times New Roman" w:hAnsi="Times New Roman" w:cs="Times New Roman"/>
          <w:sz w:val="24"/>
          <w:szCs w:val="24"/>
        </w:rPr>
        <w:t xml:space="preserve">. Nous nous proposons de </w:t>
      </w:r>
      <w:r w:rsidR="00CA46B2" w:rsidRPr="00C20656">
        <w:rPr>
          <w:rFonts w:ascii="Times New Roman" w:hAnsi="Times New Roman" w:cs="Times New Roman"/>
          <w:sz w:val="24"/>
          <w:szCs w:val="24"/>
        </w:rPr>
        <w:t>présenter trois récits qui pourront mieux édifier sur l’aliénation au forceps des espaces urbains et péri-urbains en raison de l’urbanisation galopante.</w:t>
      </w:r>
    </w:p>
    <w:p w:rsidR="00270785" w:rsidRPr="00C20656" w:rsidRDefault="00CA46B2" w:rsidP="00C20656">
      <w:pPr>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Le premier </w:t>
      </w:r>
      <w:r w:rsidR="00270785" w:rsidRPr="00C20656">
        <w:rPr>
          <w:rFonts w:ascii="Times New Roman" w:hAnsi="Times New Roman" w:cs="Times New Roman"/>
          <w:sz w:val="24"/>
          <w:szCs w:val="24"/>
        </w:rPr>
        <w:t xml:space="preserve">récit est celui de </w:t>
      </w:r>
      <w:r w:rsidR="007E6C8F" w:rsidRPr="00C20656">
        <w:rPr>
          <w:rFonts w:ascii="Times New Roman" w:hAnsi="Times New Roman" w:cs="Times New Roman"/>
          <w:sz w:val="24"/>
          <w:szCs w:val="24"/>
        </w:rPr>
        <w:t xml:space="preserve">Monsieur N. </w:t>
      </w:r>
      <w:r w:rsidR="00270785" w:rsidRPr="00C20656">
        <w:rPr>
          <w:rFonts w:ascii="Times New Roman" w:hAnsi="Times New Roman" w:cs="Times New Roman"/>
          <w:sz w:val="24"/>
          <w:szCs w:val="24"/>
        </w:rPr>
        <w:t xml:space="preserve">originaire du clan </w:t>
      </w:r>
      <w:proofErr w:type="spellStart"/>
      <w:r w:rsidR="00270785" w:rsidRPr="00C20656">
        <w:rPr>
          <w:rFonts w:ascii="Times New Roman" w:hAnsi="Times New Roman" w:cs="Times New Roman"/>
          <w:sz w:val="24"/>
          <w:szCs w:val="24"/>
        </w:rPr>
        <w:t>Mvog</w:t>
      </w:r>
      <w:proofErr w:type="spellEnd"/>
      <w:r w:rsidR="00270785" w:rsidRPr="00C20656">
        <w:rPr>
          <w:rFonts w:ascii="Times New Roman" w:hAnsi="Times New Roman" w:cs="Times New Roman"/>
          <w:sz w:val="24"/>
          <w:szCs w:val="24"/>
        </w:rPr>
        <w:t xml:space="preserve"> </w:t>
      </w:r>
      <w:proofErr w:type="spellStart"/>
      <w:r w:rsidR="00270785" w:rsidRPr="00C20656">
        <w:rPr>
          <w:rFonts w:ascii="Times New Roman" w:hAnsi="Times New Roman" w:cs="Times New Roman"/>
          <w:sz w:val="24"/>
          <w:szCs w:val="24"/>
        </w:rPr>
        <w:t>Atangana</w:t>
      </w:r>
      <w:proofErr w:type="spellEnd"/>
      <w:r w:rsidR="00270785" w:rsidRPr="00C20656">
        <w:rPr>
          <w:rFonts w:ascii="Times New Roman" w:hAnsi="Times New Roman" w:cs="Times New Roman"/>
          <w:sz w:val="24"/>
          <w:szCs w:val="24"/>
        </w:rPr>
        <w:t xml:space="preserve"> Mbala et enseignant du secondaire dans la </w:t>
      </w:r>
      <w:r w:rsidR="00635FFD" w:rsidRPr="00C20656">
        <w:rPr>
          <w:rFonts w:ascii="Times New Roman" w:hAnsi="Times New Roman" w:cs="Times New Roman"/>
          <w:sz w:val="24"/>
          <w:szCs w:val="24"/>
        </w:rPr>
        <w:t xml:space="preserve">fonction publique camerounaise et habite le quartier </w:t>
      </w:r>
      <w:proofErr w:type="spellStart"/>
      <w:r w:rsidR="00635FFD" w:rsidRPr="00C20656">
        <w:rPr>
          <w:rFonts w:ascii="Times New Roman" w:hAnsi="Times New Roman" w:cs="Times New Roman"/>
          <w:sz w:val="24"/>
          <w:szCs w:val="24"/>
        </w:rPr>
        <w:t>Mendong</w:t>
      </w:r>
      <w:proofErr w:type="spellEnd"/>
      <w:r w:rsidR="00635FFD" w:rsidRPr="00C20656">
        <w:rPr>
          <w:rFonts w:ascii="Times New Roman" w:hAnsi="Times New Roman" w:cs="Times New Roman"/>
          <w:sz w:val="24"/>
          <w:szCs w:val="24"/>
        </w:rPr>
        <w:t xml:space="preserve"> </w:t>
      </w:r>
      <w:r w:rsidR="00270785" w:rsidRPr="00C20656">
        <w:rPr>
          <w:rFonts w:ascii="Times New Roman" w:hAnsi="Times New Roman" w:cs="Times New Roman"/>
          <w:sz w:val="24"/>
          <w:szCs w:val="24"/>
        </w:rPr>
        <w:t>à Yaoundé.</w:t>
      </w:r>
    </w:p>
    <w:p w:rsidR="00270785" w:rsidRPr="00C20656" w:rsidRDefault="007E6C8F" w:rsidP="00C20656">
      <w:pPr>
        <w:spacing w:after="0" w:line="240" w:lineRule="auto"/>
        <w:jc w:val="both"/>
        <w:rPr>
          <w:rFonts w:ascii="Times New Roman" w:hAnsi="Times New Roman" w:cs="Times New Roman"/>
          <w:i/>
          <w:sz w:val="24"/>
          <w:szCs w:val="24"/>
        </w:rPr>
      </w:pPr>
      <w:r w:rsidRPr="00C20656">
        <w:rPr>
          <w:rFonts w:ascii="Times New Roman" w:hAnsi="Times New Roman" w:cs="Times New Roman"/>
          <w:sz w:val="24"/>
          <w:szCs w:val="24"/>
        </w:rPr>
        <w:t> </w:t>
      </w:r>
      <w:r w:rsidR="00270785" w:rsidRPr="00C20656">
        <w:rPr>
          <w:rFonts w:ascii="Times New Roman" w:hAnsi="Times New Roman" w:cs="Times New Roman"/>
          <w:i/>
          <w:sz w:val="24"/>
          <w:szCs w:val="24"/>
        </w:rPr>
        <w:t>Une grande frang</w:t>
      </w:r>
      <w:r w:rsidR="00635FFD" w:rsidRPr="00C20656">
        <w:rPr>
          <w:rFonts w:ascii="Times New Roman" w:hAnsi="Times New Roman" w:cs="Times New Roman"/>
          <w:i/>
          <w:sz w:val="24"/>
          <w:szCs w:val="24"/>
        </w:rPr>
        <w:t>e des terres occupées jadis par</w:t>
      </w:r>
      <w:r w:rsidR="00270785" w:rsidRPr="00C20656">
        <w:rPr>
          <w:rFonts w:ascii="Times New Roman" w:hAnsi="Times New Roman" w:cs="Times New Roman"/>
          <w:i/>
          <w:sz w:val="24"/>
          <w:szCs w:val="24"/>
        </w:rPr>
        <w:t xml:space="preserve"> nos différentes familles ont été déclarées en 1982 Domaine d’utilité publique et incorporées au domaine privé de l’État pour la construction des logements sociaux (Camp SIC</w:t>
      </w:r>
      <w:r w:rsidR="00270785" w:rsidRPr="00C20656">
        <w:rPr>
          <w:rStyle w:val="Appelnotedebasdep"/>
          <w:rFonts w:ascii="Times New Roman" w:hAnsi="Times New Roman" w:cs="Times New Roman"/>
          <w:i/>
          <w:sz w:val="24"/>
          <w:szCs w:val="24"/>
        </w:rPr>
        <w:footnoteReference w:id="11"/>
      </w:r>
      <w:r w:rsidR="00270785" w:rsidRPr="00C20656">
        <w:rPr>
          <w:rFonts w:ascii="Times New Roman" w:hAnsi="Times New Roman" w:cs="Times New Roman"/>
          <w:i/>
          <w:sz w:val="24"/>
          <w:szCs w:val="24"/>
        </w:rPr>
        <w:t xml:space="preserve"> </w:t>
      </w:r>
      <w:proofErr w:type="spellStart"/>
      <w:r w:rsidR="00270785" w:rsidRPr="00C20656">
        <w:rPr>
          <w:rFonts w:ascii="Times New Roman" w:hAnsi="Times New Roman" w:cs="Times New Roman"/>
          <w:i/>
          <w:sz w:val="24"/>
          <w:szCs w:val="24"/>
        </w:rPr>
        <w:t>Mendong</w:t>
      </w:r>
      <w:proofErr w:type="spellEnd"/>
      <w:r w:rsidR="00270785" w:rsidRPr="00C20656">
        <w:rPr>
          <w:rFonts w:ascii="Times New Roman" w:hAnsi="Times New Roman" w:cs="Times New Roman"/>
          <w:i/>
          <w:sz w:val="24"/>
          <w:szCs w:val="24"/>
        </w:rPr>
        <w:t>).</w:t>
      </w:r>
      <w:r w:rsidR="008774A6" w:rsidRPr="00C20656">
        <w:rPr>
          <w:rFonts w:ascii="Times New Roman" w:hAnsi="Times New Roman" w:cs="Times New Roman"/>
          <w:i/>
          <w:sz w:val="24"/>
          <w:szCs w:val="24"/>
        </w:rPr>
        <w:t xml:space="preserve"> </w:t>
      </w:r>
      <w:r w:rsidR="00270785" w:rsidRPr="00C20656">
        <w:rPr>
          <w:rFonts w:ascii="Times New Roman" w:hAnsi="Times New Roman" w:cs="Times New Roman"/>
          <w:i/>
          <w:sz w:val="24"/>
          <w:szCs w:val="24"/>
        </w:rPr>
        <w:t>Mes cousins d’en face ont vécu la double peine.</w:t>
      </w:r>
    </w:p>
    <w:p w:rsidR="00270785" w:rsidRPr="008774A6" w:rsidRDefault="00270785" w:rsidP="00270785">
      <w:pPr>
        <w:spacing w:after="0" w:line="24" w:lineRule="atLeast"/>
        <w:jc w:val="both"/>
        <w:rPr>
          <w:rFonts w:ascii="Times New Roman" w:hAnsi="Times New Roman" w:cs="Times New Roman"/>
          <w:sz w:val="24"/>
          <w:szCs w:val="24"/>
        </w:rPr>
      </w:pPr>
      <w:r w:rsidRPr="008774A6">
        <w:rPr>
          <w:rFonts w:ascii="Times New Roman" w:hAnsi="Times New Roman" w:cs="Times New Roman"/>
          <w:i/>
          <w:sz w:val="24"/>
          <w:szCs w:val="24"/>
        </w:rPr>
        <w:t xml:space="preserve"> Suite à la catastrophe de </w:t>
      </w:r>
      <w:proofErr w:type="spellStart"/>
      <w:r w:rsidRPr="008774A6">
        <w:rPr>
          <w:rFonts w:ascii="Times New Roman" w:hAnsi="Times New Roman" w:cs="Times New Roman"/>
          <w:i/>
          <w:sz w:val="24"/>
          <w:szCs w:val="24"/>
        </w:rPr>
        <w:t>Nsam</w:t>
      </w:r>
      <w:proofErr w:type="spellEnd"/>
      <w:r w:rsidR="00184463">
        <w:rPr>
          <w:rStyle w:val="Appelnotedebasdep"/>
          <w:rFonts w:ascii="Times New Roman" w:hAnsi="Times New Roman" w:cs="Times New Roman"/>
          <w:i/>
          <w:sz w:val="24"/>
          <w:szCs w:val="24"/>
        </w:rPr>
        <w:footnoteReference w:id="12"/>
      </w:r>
      <w:r w:rsidRPr="008774A6">
        <w:rPr>
          <w:rFonts w:ascii="Times New Roman" w:hAnsi="Times New Roman" w:cs="Times New Roman"/>
          <w:i/>
          <w:sz w:val="24"/>
          <w:szCs w:val="24"/>
        </w:rPr>
        <w:t xml:space="preserve"> du 14 février 1998 l’espace dans lequel ils s’adonnaient à l’agriculture a été incorporé au domaine privé de l’État </w:t>
      </w:r>
      <w:r w:rsidR="008774A6" w:rsidRPr="008774A6">
        <w:rPr>
          <w:rFonts w:ascii="Times New Roman" w:hAnsi="Times New Roman" w:cs="Times New Roman"/>
          <w:i/>
          <w:sz w:val="24"/>
          <w:szCs w:val="24"/>
        </w:rPr>
        <w:t xml:space="preserve"> </w:t>
      </w:r>
      <w:r w:rsidRPr="008774A6">
        <w:rPr>
          <w:rFonts w:ascii="Times New Roman" w:hAnsi="Times New Roman" w:cs="Times New Roman"/>
          <w:i/>
          <w:sz w:val="24"/>
          <w:szCs w:val="24"/>
        </w:rPr>
        <w:t xml:space="preserve"> au profit de la MAETUR</w:t>
      </w:r>
      <w:r w:rsidRPr="008774A6">
        <w:rPr>
          <w:rStyle w:val="Appelnotedebasdep"/>
          <w:rFonts w:ascii="Times New Roman" w:hAnsi="Times New Roman" w:cs="Times New Roman"/>
          <w:i/>
          <w:sz w:val="24"/>
          <w:szCs w:val="24"/>
        </w:rPr>
        <w:footnoteReference w:id="13"/>
      </w:r>
      <w:r w:rsidRPr="008774A6">
        <w:rPr>
          <w:rFonts w:ascii="Times New Roman" w:hAnsi="Times New Roman" w:cs="Times New Roman"/>
          <w:i/>
          <w:sz w:val="24"/>
          <w:szCs w:val="24"/>
        </w:rPr>
        <w:t xml:space="preserve">.Cet espace a désormais comme toponyme </w:t>
      </w:r>
      <w:proofErr w:type="spellStart"/>
      <w:r w:rsidRPr="008774A6">
        <w:rPr>
          <w:rFonts w:ascii="Times New Roman" w:hAnsi="Times New Roman" w:cs="Times New Roman"/>
          <w:i/>
          <w:sz w:val="24"/>
          <w:szCs w:val="24"/>
        </w:rPr>
        <w:t>Mendong</w:t>
      </w:r>
      <w:proofErr w:type="spellEnd"/>
      <w:r w:rsidRPr="008774A6">
        <w:rPr>
          <w:rFonts w:ascii="Times New Roman" w:hAnsi="Times New Roman" w:cs="Times New Roman"/>
          <w:i/>
          <w:sz w:val="24"/>
          <w:szCs w:val="24"/>
        </w:rPr>
        <w:t xml:space="preserve"> </w:t>
      </w:r>
      <w:proofErr w:type="spellStart"/>
      <w:r w:rsidRPr="008774A6">
        <w:rPr>
          <w:rFonts w:ascii="Times New Roman" w:hAnsi="Times New Roman" w:cs="Times New Roman"/>
          <w:i/>
          <w:sz w:val="24"/>
          <w:szCs w:val="24"/>
        </w:rPr>
        <w:t>Maetur</w:t>
      </w:r>
      <w:proofErr w:type="spellEnd"/>
      <w:r w:rsidRPr="008774A6">
        <w:rPr>
          <w:rFonts w:ascii="Times New Roman" w:hAnsi="Times New Roman" w:cs="Times New Roman"/>
          <w:i/>
          <w:sz w:val="24"/>
          <w:szCs w:val="24"/>
        </w:rPr>
        <w:t>. Pour revenir à mon cas ce qui me reste comme portion de terre au village c’est cet espace de</w:t>
      </w:r>
      <w:r w:rsidR="00E94F4D">
        <w:rPr>
          <w:rFonts w:ascii="Times New Roman" w:hAnsi="Times New Roman" w:cs="Times New Roman"/>
          <w:i/>
          <w:sz w:val="24"/>
          <w:szCs w:val="24"/>
        </w:rPr>
        <w:t xml:space="preserve"> </w:t>
      </w:r>
      <w:r w:rsidRPr="008774A6">
        <w:rPr>
          <w:rFonts w:ascii="Times New Roman" w:hAnsi="Times New Roman" w:cs="Times New Roman"/>
          <w:i/>
          <w:sz w:val="24"/>
          <w:szCs w:val="24"/>
        </w:rPr>
        <w:t>1300</w:t>
      </w:r>
      <w:r w:rsidR="00E94F4D">
        <w:rPr>
          <w:rFonts w:ascii="Times New Roman" w:hAnsi="Times New Roman" w:cs="Times New Roman"/>
          <w:i/>
          <w:sz w:val="24"/>
          <w:szCs w:val="24"/>
        </w:rPr>
        <w:t xml:space="preserve"> </w:t>
      </w:r>
      <w:r w:rsidRPr="008774A6">
        <w:rPr>
          <w:rFonts w:ascii="Times New Roman" w:hAnsi="Times New Roman" w:cs="Times New Roman"/>
          <w:i/>
          <w:sz w:val="24"/>
          <w:szCs w:val="24"/>
        </w:rPr>
        <w:t xml:space="preserve">m² ; et je peux dire que je garde encore ce terrain parce que je suis entêté. Au départ Une compagnie téléphonique a signé un contrat de bail pour placer cette antenne sur un espace de 80m². Ils versaient le montant de 2 500 000 </w:t>
      </w:r>
      <w:proofErr w:type="spellStart"/>
      <w:r w:rsidRPr="008774A6">
        <w:rPr>
          <w:rFonts w:ascii="Times New Roman" w:hAnsi="Times New Roman" w:cs="Times New Roman"/>
          <w:i/>
          <w:sz w:val="24"/>
          <w:szCs w:val="24"/>
        </w:rPr>
        <w:t>Fcfa</w:t>
      </w:r>
      <w:proofErr w:type="spellEnd"/>
      <w:r w:rsidRPr="008774A6">
        <w:rPr>
          <w:rFonts w:ascii="Times New Roman" w:hAnsi="Times New Roman" w:cs="Times New Roman"/>
          <w:i/>
          <w:sz w:val="24"/>
          <w:szCs w:val="24"/>
        </w:rPr>
        <w:t xml:space="preserve"> représentant les frais de location annuelle auprès d’une institution financière. Il y a de cela cinq ans, je constate sur mon compte la rondelette somme de 25 000 000 </w:t>
      </w:r>
      <w:proofErr w:type="spellStart"/>
      <w:r w:rsidRPr="008774A6">
        <w:rPr>
          <w:rFonts w:ascii="Times New Roman" w:hAnsi="Times New Roman" w:cs="Times New Roman"/>
          <w:i/>
          <w:sz w:val="24"/>
          <w:szCs w:val="24"/>
        </w:rPr>
        <w:t>Fcfa</w:t>
      </w:r>
      <w:proofErr w:type="spellEnd"/>
      <w:r w:rsidRPr="008774A6">
        <w:rPr>
          <w:rFonts w:ascii="Times New Roman" w:hAnsi="Times New Roman" w:cs="Times New Roman"/>
          <w:i/>
          <w:sz w:val="24"/>
          <w:szCs w:val="24"/>
        </w:rPr>
        <w:t>. Devant mon étonnement, je me rapproche auprès de la firme télépho</w:t>
      </w:r>
      <w:r w:rsidR="00635FFD">
        <w:rPr>
          <w:rFonts w:ascii="Times New Roman" w:hAnsi="Times New Roman" w:cs="Times New Roman"/>
          <w:i/>
          <w:sz w:val="24"/>
          <w:szCs w:val="24"/>
        </w:rPr>
        <w:t>nique qui déclare</w:t>
      </w:r>
      <w:r w:rsidRPr="008774A6">
        <w:rPr>
          <w:rFonts w:ascii="Times New Roman" w:hAnsi="Times New Roman" w:cs="Times New Roman"/>
          <w:i/>
          <w:sz w:val="24"/>
          <w:szCs w:val="24"/>
        </w:rPr>
        <w:t xml:space="preserve"> que ce  montant correspond à la vente de terrain. Je me suis opposé et cet argent est resté durant un an dans mon compte jusqu’à ce qu’il retire leur argent. Je vais encore vous raconter une autre histoire. Il y a deux ans</w:t>
      </w:r>
      <w:r w:rsidR="003B46EB">
        <w:rPr>
          <w:rFonts w:ascii="Times New Roman" w:hAnsi="Times New Roman" w:cs="Times New Roman"/>
          <w:i/>
          <w:sz w:val="24"/>
          <w:szCs w:val="24"/>
        </w:rPr>
        <w:t>,</w:t>
      </w:r>
      <w:r w:rsidRPr="008774A6">
        <w:rPr>
          <w:rFonts w:ascii="Times New Roman" w:hAnsi="Times New Roman" w:cs="Times New Roman"/>
          <w:i/>
          <w:sz w:val="24"/>
          <w:szCs w:val="24"/>
        </w:rPr>
        <w:t xml:space="preserve"> j’ai reçu la visite d’un grand entrepreneur camerounais qui a fait fortune dans l’hôtellerie. Il m’’a fait part de son désir de construire un grand hôtel sur le dernier espace qui représente mon village.  En contrepartie, il me donne 90 millions de FCFA et m’offre une maiso</w:t>
      </w:r>
      <w:r w:rsidR="003B46EB">
        <w:rPr>
          <w:rFonts w:ascii="Times New Roman" w:hAnsi="Times New Roman" w:cs="Times New Roman"/>
          <w:i/>
          <w:sz w:val="24"/>
          <w:szCs w:val="24"/>
        </w:rPr>
        <w:t xml:space="preserve">n construite au quartier </w:t>
      </w:r>
      <w:proofErr w:type="spellStart"/>
      <w:r w:rsidR="003B46EB">
        <w:rPr>
          <w:rFonts w:ascii="Times New Roman" w:hAnsi="Times New Roman" w:cs="Times New Roman"/>
          <w:i/>
          <w:sz w:val="24"/>
          <w:szCs w:val="24"/>
        </w:rPr>
        <w:t>Odza</w:t>
      </w:r>
      <w:proofErr w:type="spellEnd"/>
      <w:r w:rsidR="003B46EB">
        <w:rPr>
          <w:rFonts w:ascii="Times New Roman" w:hAnsi="Times New Roman" w:cs="Times New Roman"/>
          <w:i/>
          <w:sz w:val="24"/>
          <w:szCs w:val="24"/>
        </w:rPr>
        <w:t>’</w:t>
      </w:r>
      <w:r w:rsidRPr="008774A6">
        <w:rPr>
          <w:rFonts w:ascii="Times New Roman" w:hAnsi="Times New Roman" w:cs="Times New Roman"/>
          <w:i/>
          <w:sz w:val="24"/>
          <w:szCs w:val="24"/>
        </w:rPr>
        <w:t>.</w:t>
      </w:r>
      <w:r w:rsidR="003B46EB">
        <w:rPr>
          <w:rFonts w:ascii="Times New Roman" w:hAnsi="Times New Roman" w:cs="Times New Roman"/>
          <w:i/>
          <w:sz w:val="24"/>
          <w:szCs w:val="24"/>
        </w:rPr>
        <w:t xml:space="preserve"> </w:t>
      </w:r>
      <w:r w:rsidRPr="008774A6">
        <w:rPr>
          <w:rFonts w:ascii="Times New Roman" w:hAnsi="Times New Roman" w:cs="Times New Roman"/>
          <w:i/>
          <w:sz w:val="24"/>
          <w:szCs w:val="24"/>
        </w:rPr>
        <w:t xml:space="preserve">Je suis resté attaché à mon terrain. Mais si je meurs je ne sais pas si mes enfants   auront le même attachement viscéral au dernier espace qui représente la terre de mes aïeuls </w:t>
      </w:r>
      <w:r w:rsidR="00635FFD">
        <w:rPr>
          <w:rFonts w:ascii="Times New Roman" w:hAnsi="Times New Roman" w:cs="Times New Roman"/>
          <w:sz w:val="24"/>
          <w:szCs w:val="24"/>
        </w:rPr>
        <w:t>[</w:t>
      </w:r>
      <w:r w:rsidR="003B46EB">
        <w:rPr>
          <w:rFonts w:ascii="Times New Roman" w:hAnsi="Times New Roman" w:cs="Times New Roman"/>
          <w:sz w:val="24"/>
          <w:szCs w:val="24"/>
        </w:rPr>
        <w:t>Entretien du 22 juin 2021</w:t>
      </w:r>
      <w:r w:rsidRPr="008774A6">
        <w:rPr>
          <w:rFonts w:ascii="Times New Roman" w:hAnsi="Times New Roman" w:cs="Times New Roman"/>
          <w:sz w:val="24"/>
          <w:szCs w:val="24"/>
        </w:rPr>
        <w:t>]</w:t>
      </w:r>
    </w:p>
    <w:p w:rsidR="003B46EB" w:rsidRPr="003B46EB" w:rsidRDefault="00270785" w:rsidP="003B46EB">
      <w:pPr>
        <w:spacing w:after="0" w:line="24" w:lineRule="atLeast"/>
        <w:jc w:val="both"/>
        <w:rPr>
          <w:rFonts w:ascii="Times New Roman" w:hAnsi="Times New Roman" w:cs="Times New Roman"/>
          <w:sz w:val="24"/>
          <w:szCs w:val="24"/>
        </w:rPr>
      </w:pPr>
      <w:r w:rsidRPr="003B46EB">
        <w:rPr>
          <w:rFonts w:ascii="Times New Roman" w:hAnsi="Times New Roman" w:cs="Times New Roman"/>
          <w:sz w:val="24"/>
          <w:szCs w:val="24"/>
        </w:rPr>
        <w:t>Le deuxi</w:t>
      </w:r>
      <w:r w:rsidR="008774A6" w:rsidRPr="003B46EB">
        <w:rPr>
          <w:rFonts w:ascii="Times New Roman" w:hAnsi="Times New Roman" w:cs="Times New Roman"/>
          <w:sz w:val="24"/>
          <w:szCs w:val="24"/>
        </w:rPr>
        <w:t>ème récit</w:t>
      </w:r>
      <w:r w:rsidR="003B46EB" w:rsidRPr="003B46EB">
        <w:rPr>
          <w:rFonts w:ascii="Times New Roman" w:hAnsi="Times New Roman" w:cs="Times New Roman"/>
          <w:sz w:val="24"/>
          <w:szCs w:val="24"/>
        </w:rPr>
        <w:t xml:space="preserve"> est celui de </w:t>
      </w:r>
      <w:r w:rsidR="003B46EB">
        <w:rPr>
          <w:rFonts w:ascii="Times New Roman" w:hAnsi="Times New Roman" w:cs="Times New Roman"/>
          <w:sz w:val="24"/>
          <w:szCs w:val="24"/>
        </w:rPr>
        <w:t>l’</w:t>
      </w:r>
      <w:r w:rsidR="003B46EB" w:rsidRPr="003B46EB">
        <w:rPr>
          <w:rFonts w:ascii="Times New Roman" w:hAnsi="Times New Roman" w:cs="Times New Roman"/>
          <w:sz w:val="24"/>
          <w:szCs w:val="24"/>
        </w:rPr>
        <w:t xml:space="preserve">informateur   se nomme Monsieur A du clan </w:t>
      </w:r>
      <w:proofErr w:type="spellStart"/>
      <w:r w:rsidR="003B46EB" w:rsidRPr="003B46EB">
        <w:rPr>
          <w:rFonts w:ascii="Times New Roman" w:hAnsi="Times New Roman" w:cs="Times New Roman"/>
          <w:sz w:val="24"/>
          <w:szCs w:val="24"/>
        </w:rPr>
        <w:t>Mvog</w:t>
      </w:r>
      <w:proofErr w:type="spellEnd"/>
      <w:r w:rsidR="003B46EB" w:rsidRPr="003B46EB">
        <w:rPr>
          <w:rFonts w:ascii="Times New Roman" w:hAnsi="Times New Roman" w:cs="Times New Roman"/>
          <w:sz w:val="24"/>
          <w:szCs w:val="24"/>
        </w:rPr>
        <w:t xml:space="preserve"> </w:t>
      </w:r>
      <w:proofErr w:type="spellStart"/>
      <w:r w:rsidR="003B46EB" w:rsidRPr="003B46EB">
        <w:rPr>
          <w:rFonts w:ascii="Times New Roman" w:hAnsi="Times New Roman" w:cs="Times New Roman"/>
          <w:sz w:val="24"/>
          <w:szCs w:val="24"/>
        </w:rPr>
        <w:t>atangana</w:t>
      </w:r>
      <w:proofErr w:type="spellEnd"/>
      <w:r w:rsidR="003B46EB" w:rsidRPr="003B46EB">
        <w:rPr>
          <w:rFonts w:ascii="Times New Roman" w:hAnsi="Times New Roman" w:cs="Times New Roman"/>
          <w:sz w:val="24"/>
          <w:szCs w:val="24"/>
        </w:rPr>
        <w:t xml:space="preserve"> </w:t>
      </w:r>
      <w:proofErr w:type="spellStart"/>
      <w:r w:rsidR="003B46EB" w:rsidRPr="003B46EB">
        <w:rPr>
          <w:rFonts w:ascii="Times New Roman" w:hAnsi="Times New Roman" w:cs="Times New Roman"/>
          <w:sz w:val="24"/>
          <w:szCs w:val="24"/>
        </w:rPr>
        <w:t>mbala</w:t>
      </w:r>
      <w:proofErr w:type="spellEnd"/>
      <w:r w:rsidR="003B46EB" w:rsidRPr="003B46EB">
        <w:rPr>
          <w:rFonts w:ascii="Times New Roman" w:hAnsi="Times New Roman" w:cs="Times New Roman"/>
          <w:sz w:val="24"/>
          <w:szCs w:val="24"/>
        </w:rPr>
        <w:t>. Il est le neveu de Papa Noah. Il nous raconte comment son oncle s’est retrouvé sans domicile dans son espace vital et natal</w:t>
      </w:r>
      <w:r w:rsidR="00E94F4D">
        <w:rPr>
          <w:rFonts w:ascii="Times New Roman" w:hAnsi="Times New Roman" w:cs="Times New Roman"/>
          <w:sz w:val="24"/>
          <w:szCs w:val="24"/>
        </w:rPr>
        <w:t>.</w:t>
      </w:r>
      <w:r w:rsidR="003B46EB" w:rsidRPr="003B46EB">
        <w:rPr>
          <w:rFonts w:ascii="Times New Roman" w:hAnsi="Times New Roman" w:cs="Times New Roman"/>
          <w:sz w:val="24"/>
          <w:szCs w:val="24"/>
        </w:rPr>
        <w:t xml:space="preserve">  </w:t>
      </w:r>
    </w:p>
    <w:p w:rsidR="003B46EB" w:rsidRPr="003B46EB" w:rsidRDefault="003B46EB" w:rsidP="00C20656">
      <w:pPr>
        <w:spacing w:after="0" w:line="240" w:lineRule="auto"/>
        <w:jc w:val="both"/>
        <w:rPr>
          <w:rFonts w:ascii="Times New Roman" w:hAnsi="Times New Roman" w:cs="Times New Roman"/>
          <w:sz w:val="24"/>
          <w:szCs w:val="24"/>
        </w:rPr>
      </w:pPr>
      <w:r w:rsidRPr="003B46EB">
        <w:rPr>
          <w:rFonts w:ascii="Times New Roman" w:hAnsi="Times New Roman" w:cs="Times New Roman"/>
          <w:sz w:val="24"/>
          <w:szCs w:val="24"/>
        </w:rPr>
        <w:lastRenderedPageBreak/>
        <w:t>« </w:t>
      </w:r>
      <w:r w:rsidR="00635FFD">
        <w:rPr>
          <w:rFonts w:ascii="Times New Roman" w:hAnsi="Times New Roman" w:cs="Times New Roman"/>
          <w:i/>
          <w:sz w:val="24"/>
          <w:szCs w:val="24"/>
        </w:rPr>
        <w:t>Mon oncle, le frère de ma mère</w:t>
      </w:r>
      <w:r w:rsidRPr="003B46EB">
        <w:rPr>
          <w:rFonts w:ascii="Times New Roman" w:hAnsi="Times New Roman" w:cs="Times New Roman"/>
          <w:i/>
          <w:sz w:val="24"/>
          <w:szCs w:val="24"/>
        </w:rPr>
        <w:t xml:space="preserve"> a hérité d4un terrain d’une contenance de  huit hectares. Ma mère est allée en mariage dans un autre village où elle a fondé une famille avec mon père. Mon oncle Papa Noah s’est retrouvé donc seul dans son village. Les gens ont abusé de mon oncle. Il cédait 200m² de terrain pour dix bières offertes. J’ai lu un jour comment un monsieur a acquis une parcelle de 1000m² seulement avec une promesse d’achat. Je connais une personne qui est venue s’installer sur ce terrain prétextant qu’elle que mon oncle était son géniteur alors que sa région d’origine véritable se trouve dans la région septentrionale du pays. Lorsque mon oncle est tombé malade, des femmes à qui il avait fait louer des espaces pour la culture des champs ont transformé ces papiers en acte de vente. Ainsi des femmes se sont retrouvées avec   1500 m², voire 3000m² de terrain. Sur son lit d’hôpital, mon oncle m’avoua qu’il avait déjà vendu à un de ses voisins </w:t>
      </w:r>
      <w:r>
        <w:rPr>
          <w:rFonts w:ascii="Times New Roman" w:hAnsi="Times New Roman" w:cs="Times New Roman"/>
          <w:i/>
          <w:sz w:val="24"/>
          <w:szCs w:val="24"/>
        </w:rPr>
        <w:t>sa maison, dernier espace qui lui</w:t>
      </w:r>
      <w:r w:rsidRPr="003B46EB">
        <w:rPr>
          <w:rFonts w:ascii="Times New Roman" w:hAnsi="Times New Roman" w:cs="Times New Roman"/>
          <w:i/>
          <w:sz w:val="24"/>
          <w:szCs w:val="24"/>
        </w:rPr>
        <w:t xml:space="preserve"> restait</w:t>
      </w:r>
      <w:r>
        <w:rPr>
          <w:rFonts w:ascii="Times New Roman" w:hAnsi="Times New Roman" w:cs="Times New Roman"/>
          <w:i/>
          <w:sz w:val="24"/>
          <w:szCs w:val="24"/>
        </w:rPr>
        <w:t>.</w:t>
      </w:r>
      <w:r w:rsidRPr="003B46EB">
        <w:rPr>
          <w:rFonts w:ascii="Times New Roman" w:hAnsi="Times New Roman" w:cs="Times New Roman"/>
          <w:i/>
          <w:sz w:val="24"/>
          <w:szCs w:val="24"/>
        </w:rPr>
        <w:t xml:space="preserve"> Les obsèques faillirent ne pas avoir lieu sur la terre de ses ancêtres en raison de l’absence d’un endroit pour le lieu de sépulture. Tous les prétendus acheteurs de terrain refusèrent à leur vendeur une tombe jouxtant leurs maisons. La famille dût se résoudre sur un réduit de 20m² pour inhumer notre oncle. Aujourd’hui</w:t>
      </w:r>
      <w:r w:rsidR="00BE1FB6">
        <w:rPr>
          <w:rFonts w:ascii="Times New Roman" w:hAnsi="Times New Roman" w:cs="Times New Roman"/>
          <w:i/>
          <w:sz w:val="24"/>
          <w:szCs w:val="24"/>
        </w:rPr>
        <w:t>,</w:t>
      </w:r>
      <w:r w:rsidRPr="003B46EB">
        <w:rPr>
          <w:rFonts w:ascii="Times New Roman" w:hAnsi="Times New Roman" w:cs="Times New Roman"/>
          <w:i/>
          <w:sz w:val="24"/>
          <w:szCs w:val="24"/>
        </w:rPr>
        <w:t xml:space="preserve"> quand j’arrive sur les huit hectares de terrain de mon défunt oncle. Je ne peux que pleurer</w:t>
      </w:r>
      <w:r w:rsidRPr="003B46EB">
        <w:rPr>
          <w:rFonts w:ascii="Times New Roman" w:hAnsi="Times New Roman" w:cs="Times New Roman"/>
          <w:sz w:val="24"/>
          <w:szCs w:val="24"/>
        </w:rPr>
        <w:t xml:space="preserve">. »  </w:t>
      </w:r>
      <w:r>
        <w:rPr>
          <w:rFonts w:ascii="Times New Roman" w:hAnsi="Times New Roman" w:cs="Times New Roman"/>
          <w:sz w:val="24"/>
          <w:szCs w:val="24"/>
        </w:rPr>
        <w:t>(Entretien du 12 janvier 2022]</w:t>
      </w:r>
    </w:p>
    <w:p w:rsidR="00635FFD" w:rsidRDefault="00A37A07" w:rsidP="00A37A07">
      <w:pPr>
        <w:spacing w:after="0" w:line="24" w:lineRule="atLeast"/>
        <w:jc w:val="both"/>
        <w:rPr>
          <w:rFonts w:ascii="Times New Roman" w:hAnsi="Times New Roman" w:cs="Times New Roman"/>
          <w:sz w:val="24"/>
          <w:szCs w:val="24"/>
        </w:rPr>
      </w:pPr>
      <w:r>
        <w:rPr>
          <w:rFonts w:ascii="Times New Roman" w:hAnsi="Times New Roman" w:cs="Times New Roman"/>
          <w:sz w:val="24"/>
          <w:szCs w:val="24"/>
        </w:rPr>
        <w:t xml:space="preserve">Le troisième </w:t>
      </w:r>
      <w:r w:rsidR="00522EC5">
        <w:rPr>
          <w:rFonts w:ascii="Times New Roman" w:hAnsi="Times New Roman" w:cs="Times New Roman"/>
          <w:sz w:val="24"/>
          <w:szCs w:val="24"/>
        </w:rPr>
        <w:t>récit nous transporte dans l’un des quartiers populeux de la ville de Douala avec Majesté E.</w:t>
      </w:r>
      <w:r w:rsidR="009A5472">
        <w:rPr>
          <w:rFonts w:ascii="Times New Roman" w:hAnsi="Times New Roman" w:cs="Times New Roman"/>
          <w:sz w:val="24"/>
          <w:szCs w:val="24"/>
        </w:rPr>
        <w:t xml:space="preserve"> du clan </w:t>
      </w:r>
      <w:proofErr w:type="spellStart"/>
      <w:r w:rsidR="009A5472">
        <w:rPr>
          <w:rFonts w:ascii="Times New Roman" w:hAnsi="Times New Roman" w:cs="Times New Roman"/>
          <w:sz w:val="24"/>
          <w:szCs w:val="24"/>
        </w:rPr>
        <w:t>Bona</w:t>
      </w:r>
      <w:proofErr w:type="spellEnd"/>
      <w:r w:rsidR="009A5472">
        <w:rPr>
          <w:rFonts w:ascii="Times New Roman" w:hAnsi="Times New Roman" w:cs="Times New Roman"/>
          <w:sz w:val="24"/>
          <w:szCs w:val="24"/>
        </w:rPr>
        <w:t xml:space="preserve">…. est un chef sans terre mais avec un territoire. </w:t>
      </w:r>
      <w:r w:rsidR="00522EC5">
        <w:rPr>
          <w:rFonts w:ascii="Times New Roman" w:hAnsi="Times New Roman" w:cs="Times New Roman"/>
          <w:sz w:val="24"/>
          <w:szCs w:val="24"/>
        </w:rPr>
        <w:t xml:space="preserve"> </w:t>
      </w:r>
      <w:r w:rsidR="009A5472">
        <w:rPr>
          <w:rFonts w:ascii="Times New Roman" w:hAnsi="Times New Roman" w:cs="Times New Roman"/>
          <w:sz w:val="24"/>
          <w:szCs w:val="24"/>
        </w:rPr>
        <w:t>Il tient les palabres et les litiges dans la maison de son cousin.</w:t>
      </w:r>
      <w:r w:rsidR="00635FFD">
        <w:rPr>
          <w:rFonts w:ascii="Times New Roman" w:hAnsi="Times New Roman" w:cs="Times New Roman"/>
          <w:sz w:val="24"/>
          <w:szCs w:val="24"/>
        </w:rPr>
        <w:t xml:space="preserve"> Comment en est-on arrivé là ?</w:t>
      </w:r>
    </w:p>
    <w:p w:rsidR="00940F0B" w:rsidRDefault="00635FFD" w:rsidP="009F2CA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J’</w:t>
      </w:r>
      <w:r w:rsidR="00BE1FB6">
        <w:rPr>
          <w:rFonts w:ascii="Times New Roman" w:hAnsi="Times New Roman" w:cs="Times New Roman"/>
          <w:i/>
          <w:sz w:val="24"/>
          <w:szCs w:val="24"/>
        </w:rPr>
        <w:t>ai contracté un crédit</w:t>
      </w:r>
      <w:r>
        <w:rPr>
          <w:rFonts w:ascii="Times New Roman" w:hAnsi="Times New Roman" w:cs="Times New Roman"/>
          <w:i/>
          <w:sz w:val="24"/>
          <w:szCs w:val="24"/>
        </w:rPr>
        <w:t xml:space="preserve"> à la </w:t>
      </w:r>
      <w:r w:rsidR="00BE1FB6">
        <w:rPr>
          <w:rFonts w:ascii="Times New Roman" w:hAnsi="Times New Roman" w:cs="Times New Roman"/>
          <w:i/>
          <w:sz w:val="24"/>
          <w:szCs w:val="24"/>
        </w:rPr>
        <w:t xml:space="preserve">banque pour étendre une palmeraie </w:t>
      </w:r>
      <w:r w:rsidR="003D0AD6">
        <w:rPr>
          <w:rFonts w:ascii="Times New Roman" w:hAnsi="Times New Roman" w:cs="Times New Roman"/>
          <w:i/>
          <w:sz w:val="24"/>
          <w:szCs w:val="24"/>
        </w:rPr>
        <w:t>de vingt</w:t>
      </w:r>
      <w:r w:rsidR="00BE1FB6">
        <w:rPr>
          <w:rFonts w:ascii="Times New Roman" w:hAnsi="Times New Roman" w:cs="Times New Roman"/>
          <w:i/>
          <w:sz w:val="24"/>
          <w:szCs w:val="24"/>
        </w:rPr>
        <w:t xml:space="preserve"> hectares à </w:t>
      </w:r>
      <w:r w:rsidR="003D0AD6">
        <w:rPr>
          <w:rFonts w:ascii="Times New Roman" w:hAnsi="Times New Roman" w:cs="Times New Roman"/>
          <w:i/>
          <w:sz w:val="24"/>
          <w:szCs w:val="24"/>
        </w:rPr>
        <w:t>quarante</w:t>
      </w:r>
      <w:r w:rsidR="00940F0B">
        <w:rPr>
          <w:rFonts w:ascii="Times New Roman" w:hAnsi="Times New Roman" w:cs="Times New Roman"/>
          <w:i/>
          <w:sz w:val="24"/>
          <w:szCs w:val="24"/>
        </w:rPr>
        <w:t xml:space="preserve"> hectares </w:t>
      </w:r>
      <w:r w:rsidR="00BE1FB6" w:rsidRPr="00BE1FB6">
        <w:rPr>
          <w:rFonts w:ascii="Times New Roman" w:hAnsi="Times New Roman" w:cs="Times New Roman"/>
          <w:i/>
          <w:sz w:val="24"/>
          <w:szCs w:val="24"/>
        </w:rPr>
        <w:t>située</w:t>
      </w:r>
      <w:r w:rsidR="00BE1FB6">
        <w:rPr>
          <w:rFonts w:ascii="Times New Roman" w:hAnsi="Times New Roman" w:cs="Times New Roman"/>
          <w:sz w:val="24"/>
          <w:szCs w:val="24"/>
        </w:rPr>
        <w:t xml:space="preserve"> </w:t>
      </w:r>
      <w:r w:rsidR="00BE1FB6">
        <w:rPr>
          <w:rFonts w:ascii="Times New Roman" w:hAnsi="Times New Roman" w:cs="Times New Roman"/>
          <w:i/>
          <w:sz w:val="24"/>
          <w:szCs w:val="24"/>
        </w:rPr>
        <w:t>à</w:t>
      </w:r>
      <w:r w:rsidR="003D4183">
        <w:rPr>
          <w:rFonts w:ascii="Times New Roman" w:hAnsi="Times New Roman" w:cs="Times New Roman"/>
          <w:i/>
          <w:sz w:val="24"/>
          <w:szCs w:val="24"/>
        </w:rPr>
        <w:t xml:space="preserve"> une trentaine</w:t>
      </w:r>
      <w:r w:rsidR="00BE1FB6">
        <w:rPr>
          <w:rFonts w:ascii="Times New Roman" w:hAnsi="Times New Roman" w:cs="Times New Roman"/>
          <w:i/>
          <w:sz w:val="24"/>
          <w:szCs w:val="24"/>
        </w:rPr>
        <w:t xml:space="preserve"> kilomètres de la ville de Douala. </w:t>
      </w:r>
      <w:r w:rsidR="00BE1FB6" w:rsidRPr="00BE1FB6">
        <w:rPr>
          <w:rFonts w:ascii="Times New Roman" w:hAnsi="Times New Roman" w:cs="Times New Roman"/>
          <w:i/>
          <w:sz w:val="24"/>
          <w:szCs w:val="24"/>
        </w:rPr>
        <w:t>L’hypothèque pour qu’on m’accorde</w:t>
      </w:r>
      <w:r w:rsidR="00BE1FB6">
        <w:rPr>
          <w:rFonts w:ascii="Times New Roman" w:hAnsi="Times New Roman" w:cs="Times New Roman"/>
          <w:i/>
          <w:sz w:val="24"/>
          <w:szCs w:val="24"/>
        </w:rPr>
        <w:t xml:space="preserve"> le crédit</w:t>
      </w:r>
      <w:r w:rsidR="00BE1FB6" w:rsidRPr="00BE1FB6">
        <w:rPr>
          <w:rFonts w:ascii="Times New Roman" w:hAnsi="Times New Roman" w:cs="Times New Roman"/>
          <w:i/>
          <w:sz w:val="24"/>
          <w:szCs w:val="24"/>
        </w:rPr>
        <w:t xml:space="preserve"> est</w:t>
      </w:r>
      <w:r w:rsidR="00BE1FB6">
        <w:rPr>
          <w:rFonts w:ascii="Times New Roman" w:hAnsi="Times New Roman" w:cs="Times New Roman"/>
          <w:i/>
          <w:sz w:val="24"/>
          <w:szCs w:val="24"/>
        </w:rPr>
        <w:t xml:space="preserve"> le titre foncier de ma maison où se trouvait la chefferie</w:t>
      </w:r>
      <w:r w:rsidR="00BE1FB6">
        <w:rPr>
          <w:rFonts w:ascii="Times New Roman" w:hAnsi="Times New Roman" w:cs="Times New Roman"/>
          <w:sz w:val="24"/>
          <w:szCs w:val="24"/>
        </w:rPr>
        <w:t xml:space="preserve">. </w:t>
      </w:r>
      <w:r w:rsidR="003D0AD6">
        <w:rPr>
          <w:rFonts w:ascii="Times New Roman" w:hAnsi="Times New Roman" w:cs="Times New Roman"/>
          <w:i/>
          <w:sz w:val="24"/>
          <w:szCs w:val="24"/>
        </w:rPr>
        <w:t>Pour rembourser le crédit, je devais compter en grande parties sur</w:t>
      </w:r>
      <w:r w:rsidR="00BE1FB6">
        <w:rPr>
          <w:rFonts w:ascii="Times New Roman" w:hAnsi="Times New Roman" w:cs="Times New Roman"/>
          <w:i/>
          <w:sz w:val="24"/>
          <w:szCs w:val="24"/>
        </w:rPr>
        <w:t xml:space="preserve"> les revenus issus des ventes de la palmeraie et d’autres activités parallèles</w:t>
      </w:r>
      <w:r w:rsidR="003D0AD6">
        <w:rPr>
          <w:rFonts w:ascii="Times New Roman" w:hAnsi="Times New Roman" w:cs="Times New Roman"/>
          <w:i/>
          <w:sz w:val="24"/>
          <w:szCs w:val="24"/>
        </w:rPr>
        <w:t xml:space="preserve">. Mais un évènement malheureux est survenu. Un incendie a décimé toute la palmeraie et j’ai été privé par de la grande portion de mes revenus. Je ne pouvais donc plus honorer les échéances de remboursement du crédit. Et à la suite d’une longue bataille </w:t>
      </w:r>
      <w:r w:rsidR="00940F0B">
        <w:rPr>
          <w:rFonts w:ascii="Times New Roman" w:hAnsi="Times New Roman" w:cs="Times New Roman"/>
          <w:i/>
          <w:sz w:val="24"/>
          <w:szCs w:val="24"/>
        </w:rPr>
        <w:t>judiciaire, il</w:t>
      </w:r>
      <w:r w:rsidR="003D0AD6">
        <w:rPr>
          <w:rFonts w:ascii="Times New Roman" w:hAnsi="Times New Roman" w:cs="Times New Roman"/>
          <w:i/>
          <w:sz w:val="24"/>
          <w:szCs w:val="24"/>
        </w:rPr>
        <w:t xml:space="preserve"> a été décidé </w:t>
      </w:r>
      <w:r w:rsidR="00940F0B">
        <w:rPr>
          <w:rFonts w:ascii="Times New Roman" w:hAnsi="Times New Roman" w:cs="Times New Roman"/>
          <w:i/>
          <w:sz w:val="24"/>
          <w:szCs w:val="24"/>
        </w:rPr>
        <w:t>que la</w:t>
      </w:r>
      <w:r w:rsidR="003D0AD6">
        <w:rPr>
          <w:rFonts w:ascii="Times New Roman" w:hAnsi="Times New Roman" w:cs="Times New Roman"/>
          <w:i/>
          <w:sz w:val="24"/>
          <w:szCs w:val="24"/>
        </w:rPr>
        <w:t xml:space="preserve"> banque </w:t>
      </w:r>
      <w:r w:rsidR="00E94F4D">
        <w:rPr>
          <w:rFonts w:ascii="Times New Roman" w:hAnsi="Times New Roman" w:cs="Times New Roman"/>
          <w:i/>
          <w:sz w:val="24"/>
          <w:szCs w:val="24"/>
        </w:rPr>
        <w:t xml:space="preserve">rentre en possession de mon titre foncier. C’est ainsi </w:t>
      </w:r>
      <w:r w:rsidR="00940F0B">
        <w:rPr>
          <w:rFonts w:ascii="Times New Roman" w:hAnsi="Times New Roman" w:cs="Times New Roman"/>
          <w:i/>
          <w:sz w:val="24"/>
          <w:szCs w:val="24"/>
        </w:rPr>
        <w:t xml:space="preserve">que je </w:t>
      </w:r>
      <w:r w:rsidR="00CC18C9">
        <w:rPr>
          <w:rFonts w:ascii="Times New Roman" w:hAnsi="Times New Roman" w:cs="Times New Roman"/>
          <w:i/>
          <w:sz w:val="24"/>
          <w:szCs w:val="24"/>
        </w:rPr>
        <w:t xml:space="preserve">fus contraint de quitter mon domicile avec </w:t>
      </w:r>
      <w:r w:rsidR="00940F0B">
        <w:rPr>
          <w:rFonts w:ascii="Times New Roman" w:hAnsi="Times New Roman" w:cs="Times New Roman"/>
          <w:i/>
          <w:sz w:val="24"/>
          <w:szCs w:val="24"/>
        </w:rPr>
        <w:t>l’</w:t>
      </w:r>
      <w:r w:rsidR="00CC18C9">
        <w:rPr>
          <w:rFonts w:ascii="Times New Roman" w:hAnsi="Times New Roman" w:cs="Times New Roman"/>
          <w:i/>
          <w:sz w:val="24"/>
          <w:szCs w:val="24"/>
        </w:rPr>
        <w:t>effet induit</w:t>
      </w:r>
      <w:r w:rsidR="00940F0B">
        <w:rPr>
          <w:rFonts w:ascii="Times New Roman" w:hAnsi="Times New Roman" w:cs="Times New Roman"/>
          <w:i/>
          <w:sz w:val="24"/>
          <w:szCs w:val="24"/>
        </w:rPr>
        <w:t xml:space="preserve"> de délocaliser la chefferie chez mon cousin. Moi-même j’habite en ce moment sur le site de ma palmeraie </w:t>
      </w:r>
      <w:r w:rsidR="003D4183">
        <w:rPr>
          <w:rFonts w:ascii="Times New Roman" w:hAnsi="Times New Roman" w:cs="Times New Roman"/>
          <w:i/>
          <w:sz w:val="24"/>
          <w:szCs w:val="24"/>
        </w:rPr>
        <w:t>et je me rends deux fois par semaine sur mon territoire de commandement.</w:t>
      </w:r>
      <w:r w:rsidR="003D4183">
        <w:rPr>
          <w:rFonts w:ascii="Times New Roman" w:hAnsi="Times New Roman" w:cs="Times New Roman"/>
          <w:sz w:val="24"/>
          <w:szCs w:val="24"/>
        </w:rPr>
        <w:t xml:space="preserve"> [Entretien </w:t>
      </w:r>
      <w:r w:rsidR="009F2CAC">
        <w:rPr>
          <w:rFonts w:ascii="Times New Roman" w:hAnsi="Times New Roman" w:cs="Times New Roman"/>
          <w:sz w:val="24"/>
          <w:szCs w:val="24"/>
        </w:rPr>
        <w:t>dû</w:t>
      </w:r>
      <w:r w:rsidR="00400C31">
        <w:rPr>
          <w:rFonts w:ascii="Times New Roman" w:hAnsi="Times New Roman" w:cs="Times New Roman"/>
          <w:sz w:val="24"/>
          <w:szCs w:val="24"/>
        </w:rPr>
        <w:t xml:space="preserve"> à Douala</w:t>
      </w:r>
      <w:r w:rsidR="003D4183">
        <w:rPr>
          <w:rFonts w:ascii="Times New Roman" w:hAnsi="Times New Roman" w:cs="Times New Roman"/>
          <w:sz w:val="24"/>
          <w:szCs w:val="24"/>
        </w:rPr>
        <w:t>]</w:t>
      </w:r>
      <w:r w:rsidR="003D4183">
        <w:rPr>
          <w:rFonts w:ascii="Times New Roman" w:hAnsi="Times New Roman" w:cs="Times New Roman"/>
          <w:i/>
          <w:sz w:val="24"/>
          <w:szCs w:val="24"/>
        </w:rPr>
        <w:t xml:space="preserve"> </w:t>
      </w:r>
    </w:p>
    <w:p w:rsidR="00270785" w:rsidRPr="00341C81" w:rsidRDefault="003D0AD6" w:rsidP="00A37A07">
      <w:pPr>
        <w:spacing w:after="0" w:line="24" w:lineRule="atLeast"/>
        <w:jc w:val="both"/>
        <w:rPr>
          <w:rFonts w:ascii="Times New Roman" w:hAnsi="Times New Roman" w:cs="Times New Roman"/>
          <w:sz w:val="24"/>
          <w:szCs w:val="24"/>
        </w:rPr>
      </w:pPr>
      <w:r>
        <w:rPr>
          <w:rFonts w:ascii="Times New Roman" w:hAnsi="Times New Roman" w:cs="Times New Roman"/>
          <w:i/>
          <w:sz w:val="24"/>
          <w:szCs w:val="24"/>
        </w:rPr>
        <w:t xml:space="preserve"> </w:t>
      </w:r>
      <w:r w:rsidR="00BE1FB6">
        <w:rPr>
          <w:rFonts w:ascii="Times New Roman" w:hAnsi="Times New Roman" w:cs="Times New Roman"/>
          <w:i/>
          <w:sz w:val="24"/>
          <w:szCs w:val="24"/>
        </w:rPr>
        <w:t xml:space="preserve"> </w:t>
      </w:r>
      <w:r w:rsidR="00341C81">
        <w:rPr>
          <w:rFonts w:ascii="Times New Roman" w:hAnsi="Times New Roman" w:cs="Times New Roman"/>
          <w:sz w:val="24"/>
          <w:szCs w:val="24"/>
        </w:rPr>
        <w:t xml:space="preserve">Tous ces récits démontrent que </w:t>
      </w:r>
      <w:r w:rsidR="006004F5">
        <w:rPr>
          <w:rFonts w:ascii="Times New Roman" w:hAnsi="Times New Roman" w:cs="Times New Roman"/>
          <w:sz w:val="24"/>
          <w:szCs w:val="24"/>
        </w:rPr>
        <w:t xml:space="preserve">la pression démographique urbaine rend inévitable </w:t>
      </w:r>
      <w:r w:rsidR="00341C81">
        <w:rPr>
          <w:rFonts w:ascii="Times New Roman" w:hAnsi="Times New Roman" w:cs="Times New Roman"/>
          <w:sz w:val="24"/>
          <w:szCs w:val="24"/>
        </w:rPr>
        <w:t>l’</w:t>
      </w:r>
      <w:r w:rsidR="006004F5">
        <w:rPr>
          <w:rFonts w:ascii="Times New Roman" w:hAnsi="Times New Roman" w:cs="Times New Roman"/>
          <w:sz w:val="24"/>
          <w:szCs w:val="24"/>
        </w:rPr>
        <w:t>aliénation de ces</w:t>
      </w:r>
      <w:r w:rsidR="00341C81">
        <w:rPr>
          <w:rFonts w:ascii="Times New Roman" w:hAnsi="Times New Roman" w:cs="Times New Roman"/>
          <w:sz w:val="24"/>
          <w:szCs w:val="24"/>
        </w:rPr>
        <w:t xml:space="preserve"> espaces par leurs détenteurs coutumiers</w:t>
      </w:r>
      <w:r w:rsidR="006004F5">
        <w:rPr>
          <w:rFonts w:ascii="Times New Roman" w:hAnsi="Times New Roman" w:cs="Times New Roman"/>
          <w:sz w:val="24"/>
          <w:szCs w:val="24"/>
        </w:rPr>
        <w:t xml:space="preserve">. </w:t>
      </w:r>
      <w:r w:rsidR="00400C31">
        <w:rPr>
          <w:rFonts w:ascii="Times New Roman" w:hAnsi="Times New Roman" w:cs="Times New Roman"/>
          <w:sz w:val="24"/>
          <w:szCs w:val="24"/>
        </w:rPr>
        <w:t xml:space="preserve">Ils sont pris entre deux feux : soit ils conservent leurs espaces qui sont susceptibles d’être domanialisés par l’État ou les collectivités territoriales </w:t>
      </w:r>
      <w:r w:rsidR="009F2CAC">
        <w:rPr>
          <w:rFonts w:ascii="Times New Roman" w:hAnsi="Times New Roman" w:cs="Times New Roman"/>
          <w:sz w:val="24"/>
          <w:szCs w:val="24"/>
        </w:rPr>
        <w:t>décentralisées,</w:t>
      </w:r>
      <w:r w:rsidR="00400C31">
        <w:rPr>
          <w:rFonts w:ascii="Times New Roman" w:hAnsi="Times New Roman" w:cs="Times New Roman"/>
          <w:sz w:val="24"/>
          <w:szCs w:val="24"/>
        </w:rPr>
        <w:t xml:space="preserve"> </w:t>
      </w:r>
      <w:r w:rsidR="009F2CAC">
        <w:rPr>
          <w:rFonts w:ascii="Times New Roman" w:hAnsi="Times New Roman" w:cs="Times New Roman"/>
          <w:sz w:val="24"/>
          <w:szCs w:val="24"/>
        </w:rPr>
        <w:t xml:space="preserve">soit ils procèdent de leur propre gré à la vente de leurs espaces. À terme, les détenteurs coutumiers de l’espace en </w:t>
      </w:r>
      <w:r w:rsidR="00FA02E3">
        <w:rPr>
          <w:rFonts w:ascii="Times New Roman" w:hAnsi="Times New Roman" w:cs="Times New Roman"/>
          <w:sz w:val="24"/>
          <w:szCs w:val="24"/>
        </w:rPr>
        <w:t>milieu urbain et péri-</w:t>
      </w:r>
      <w:r w:rsidR="00C03CFA">
        <w:rPr>
          <w:rFonts w:ascii="Times New Roman" w:hAnsi="Times New Roman" w:cs="Times New Roman"/>
          <w:sz w:val="24"/>
          <w:szCs w:val="24"/>
        </w:rPr>
        <w:t>urbain vivent</w:t>
      </w:r>
      <w:r w:rsidR="00FA02E3">
        <w:rPr>
          <w:rFonts w:ascii="Times New Roman" w:hAnsi="Times New Roman" w:cs="Times New Roman"/>
          <w:sz w:val="24"/>
          <w:szCs w:val="24"/>
        </w:rPr>
        <w:t xml:space="preserve"> </w:t>
      </w:r>
      <w:r w:rsidR="00C03CFA">
        <w:rPr>
          <w:rFonts w:ascii="Times New Roman" w:hAnsi="Times New Roman" w:cs="Times New Roman"/>
          <w:sz w:val="24"/>
          <w:szCs w:val="24"/>
        </w:rPr>
        <w:t>déjà</w:t>
      </w:r>
      <w:r w:rsidR="009F2CAC">
        <w:rPr>
          <w:rFonts w:ascii="Times New Roman" w:hAnsi="Times New Roman" w:cs="Times New Roman"/>
          <w:sz w:val="24"/>
          <w:szCs w:val="24"/>
        </w:rPr>
        <w:t xml:space="preserve"> la menace d’une extinction culturelle et spatiale. </w:t>
      </w:r>
      <w:r w:rsidR="00C03CFA">
        <w:rPr>
          <w:rFonts w:ascii="Times New Roman" w:hAnsi="Times New Roman" w:cs="Times New Roman"/>
          <w:sz w:val="24"/>
          <w:szCs w:val="24"/>
        </w:rPr>
        <w:t>Il devient urgent de s’approprier les</w:t>
      </w:r>
      <w:r w:rsidR="009F2CAC">
        <w:rPr>
          <w:rFonts w:ascii="Times New Roman" w:hAnsi="Times New Roman" w:cs="Times New Roman"/>
          <w:sz w:val="24"/>
          <w:szCs w:val="24"/>
        </w:rPr>
        <w:t xml:space="preserve"> mécanismes </w:t>
      </w:r>
      <w:r w:rsidR="00FA02E3">
        <w:rPr>
          <w:rFonts w:ascii="Times New Roman" w:hAnsi="Times New Roman" w:cs="Times New Roman"/>
          <w:sz w:val="24"/>
          <w:szCs w:val="24"/>
        </w:rPr>
        <w:t xml:space="preserve">de Land </w:t>
      </w:r>
      <w:proofErr w:type="spellStart"/>
      <w:r w:rsidR="00FA02E3">
        <w:rPr>
          <w:rFonts w:ascii="Times New Roman" w:hAnsi="Times New Roman" w:cs="Times New Roman"/>
          <w:sz w:val="24"/>
          <w:szCs w:val="24"/>
        </w:rPr>
        <w:t>Pooling</w:t>
      </w:r>
      <w:proofErr w:type="spellEnd"/>
      <w:r w:rsidR="00FA02E3">
        <w:rPr>
          <w:rFonts w:ascii="Times New Roman" w:hAnsi="Times New Roman" w:cs="Times New Roman"/>
          <w:sz w:val="24"/>
          <w:szCs w:val="24"/>
        </w:rPr>
        <w:t xml:space="preserve"> et Land </w:t>
      </w:r>
      <w:proofErr w:type="spellStart"/>
      <w:r w:rsidR="00FA02E3">
        <w:rPr>
          <w:rFonts w:ascii="Times New Roman" w:hAnsi="Times New Roman" w:cs="Times New Roman"/>
          <w:sz w:val="24"/>
          <w:szCs w:val="24"/>
        </w:rPr>
        <w:t>Readjustmen</w:t>
      </w:r>
      <w:r w:rsidR="009F2CAC">
        <w:rPr>
          <w:rFonts w:ascii="Times New Roman" w:hAnsi="Times New Roman" w:cs="Times New Roman"/>
          <w:sz w:val="24"/>
          <w:szCs w:val="24"/>
        </w:rPr>
        <w:t>t</w:t>
      </w:r>
      <w:proofErr w:type="spellEnd"/>
      <w:r w:rsidR="00C03CFA">
        <w:rPr>
          <w:rFonts w:ascii="Times New Roman" w:hAnsi="Times New Roman" w:cs="Times New Roman"/>
          <w:sz w:val="24"/>
          <w:szCs w:val="24"/>
        </w:rPr>
        <w:t xml:space="preserve"> qui constituent un bon outil de la gouvernance foncière durable.</w:t>
      </w:r>
    </w:p>
    <w:p w:rsidR="000D3709" w:rsidRDefault="000D3709" w:rsidP="00C20656">
      <w:pPr>
        <w:tabs>
          <w:tab w:val="left" w:pos="435"/>
          <w:tab w:val="left" w:pos="1860"/>
        </w:tabs>
        <w:spacing w:after="0" w:line="240" w:lineRule="auto"/>
        <w:jc w:val="both"/>
        <w:rPr>
          <w:rFonts w:ascii="Times New Roman" w:hAnsi="Times New Roman" w:cs="Times New Roman"/>
          <w:sz w:val="24"/>
          <w:szCs w:val="24"/>
        </w:rPr>
      </w:pPr>
    </w:p>
    <w:p w:rsidR="00E2473C" w:rsidRPr="00217C0F" w:rsidRDefault="00217C0F" w:rsidP="00C20656">
      <w:pPr>
        <w:tabs>
          <w:tab w:val="left" w:pos="435"/>
          <w:tab w:val="left" w:pos="18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Pr="00217C0F">
        <w:rPr>
          <w:rFonts w:ascii="Times New Roman" w:hAnsi="Times New Roman" w:cs="Times New Roman"/>
          <w:b/>
          <w:sz w:val="24"/>
          <w:szCs w:val="24"/>
        </w:rPr>
        <w:t xml:space="preserve"> Land</w:t>
      </w:r>
      <w:r w:rsidR="00EE7453" w:rsidRPr="00217C0F">
        <w:rPr>
          <w:rFonts w:ascii="Times New Roman" w:hAnsi="Times New Roman" w:cs="Times New Roman"/>
          <w:b/>
          <w:sz w:val="24"/>
          <w:szCs w:val="24"/>
        </w:rPr>
        <w:t xml:space="preserve"> </w:t>
      </w:r>
      <w:proofErr w:type="spellStart"/>
      <w:r w:rsidR="00EE7453" w:rsidRPr="00217C0F">
        <w:rPr>
          <w:rFonts w:ascii="Times New Roman" w:hAnsi="Times New Roman" w:cs="Times New Roman"/>
          <w:b/>
          <w:sz w:val="24"/>
          <w:szCs w:val="24"/>
        </w:rPr>
        <w:t>Pooling</w:t>
      </w:r>
      <w:proofErr w:type="spellEnd"/>
      <w:r w:rsidR="00EE7453" w:rsidRPr="00217C0F">
        <w:rPr>
          <w:rFonts w:ascii="Times New Roman" w:hAnsi="Times New Roman" w:cs="Times New Roman"/>
          <w:b/>
          <w:sz w:val="24"/>
          <w:szCs w:val="24"/>
        </w:rPr>
        <w:t xml:space="preserve"> </w:t>
      </w:r>
      <w:r w:rsidRPr="00217C0F">
        <w:rPr>
          <w:rFonts w:ascii="Times New Roman" w:hAnsi="Times New Roman" w:cs="Times New Roman"/>
          <w:b/>
          <w:sz w:val="24"/>
          <w:szCs w:val="24"/>
        </w:rPr>
        <w:t>et Land</w:t>
      </w:r>
      <w:r w:rsidR="007A275A" w:rsidRPr="00217C0F">
        <w:rPr>
          <w:rFonts w:ascii="Times New Roman" w:hAnsi="Times New Roman" w:cs="Times New Roman"/>
          <w:b/>
          <w:sz w:val="24"/>
          <w:szCs w:val="24"/>
        </w:rPr>
        <w:t xml:space="preserve"> </w:t>
      </w:r>
      <w:proofErr w:type="spellStart"/>
      <w:r w:rsidR="007A275A" w:rsidRPr="00217C0F">
        <w:rPr>
          <w:rFonts w:ascii="Times New Roman" w:hAnsi="Times New Roman" w:cs="Times New Roman"/>
          <w:b/>
          <w:sz w:val="24"/>
          <w:szCs w:val="24"/>
        </w:rPr>
        <w:t>R</w:t>
      </w:r>
      <w:r w:rsidR="000B5842" w:rsidRPr="00217C0F">
        <w:rPr>
          <w:rFonts w:ascii="Times New Roman" w:hAnsi="Times New Roman" w:cs="Times New Roman"/>
          <w:b/>
          <w:sz w:val="24"/>
          <w:szCs w:val="24"/>
        </w:rPr>
        <w:t>eadjustment</w:t>
      </w:r>
      <w:proofErr w:type="spellEnd"/>
      <w:r w:rsidR="00EE7453" w:rsidRPr="00217C0F">
        <w:rPr>
          <w:rFonts w:ascii="Times New Roman" w:hAnsi="Times New Roman" w:cs="Times New Roman"/>
          <w:b/>
          <w:sz w:val="24"/>
          <w:szCs w:val="24"/>
        </w:rPr>
        <w:t xml:space="preserve"> comme </w:t>
      </w:r>
      <w:r w:rsidR="002655CC" w:rsidRPr="00217C0F">
        <w:rPr>
          <w:rFonts w:ascii="Times New Roman" w:hAnsi="Times New Roman" w:cs="Times New Roman"/>
          <w:b/>
          <w:sz w:val="24"/>
          <w:szCs w:val="24"/>
        </w:rPr>
        <w:t>m</w:t>
      </w:r>
      <w:r w:rsidR="00DC4B29" w:rsidRPr="00217C0F">
        <w:rPr>
          <w:rFonts w:ascii="Times New Roman" w:hAnsi="Times New Roman" w:cs="Times New Roman"/>
          <w:b/>
          <w:sz w:val="24"/>
          <w:szCs w:val="24"/>
        </w:rPr>
        <w:t>atrice de la gestion foncière durable</w:t>
      </w:r>
    </w:p>
    <w:p w:rsidR="000B5842" w:rsidRDefault="00DC4B29" w:rsidP="00C20656">
      <w:pPr>
        <w:tabs>
          <w:tab w:val="left" w:pos="435"/>
          <w:tab w:val="left" w:pos="1860"/>
        </w:tabs>
        <w:spacing w:after="0" w:line="240" w:lineRule="auto"/>
        <w:jc w:val="both"/>
        <w:rPr>
          <w:rFonts w:ascii="Times New Roman" w:hAnsi="Times New Roman" w:cs="Times New Roman"/>
          <w:sz w:val="24"/>
          <w:szCs w:val="24"/>
        </w:rPr>
      </w:pPr>
      <w:r w:rsidRPr="00DC4B29">
        <w:rPr>
          <w:rFonts w:ascii="Times New Roman" w:hAnsi="Times New Roman" w:cs="Times New Roman"/>
          <w:sz w:val="24"/>
          <w:szCs w:val="24"/>
        </w:rPr>
        <w:t xml:space="preserve">Le phénomène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dépatrimonialisation</w:t>
      </w:r>
      <w:proofErr w:type="spellEnd"/>
      <w:r>
        <w:rPr>
          <w:rFonts w:ascii="Times New Roman" w:hAnsi="Times New Roman" w:cs="Times New Roman"/>
          <w:sz w:val="24"/>
          <w:szCs w:val="24"/>
        </w:rPr>
        <w:t xml:space="preserve">  spatiale qui sévit dans les grandes villes du </w:t>
      </w:r>
      <w:r w:rsidR="00B3567B">
        <w:rPr>
          <w:rFonts w:ascii="Times New Roman" w:hAnsi="Times New Roman" w:cs="Times New Roman"/>
          <w:sz w:val="24"/>
          <w:szCs w:val="24"/>
        </w:rPr>
        <w:t>Cameroun</w:t>
      </w:r>
      <w:r>
        <w:rPr>
          <w:rFonts w:ascii="Times New Roman" w:hAnsi="Times New Roman" w:cs="Times New Roman"/>
          <w:sz w:val="24"/>
          <w:szCs w:val="24"/>
        </w:rPr>
        <w:t xml:space="preserve"> notamment dans les villes de Douala et de </w:t>
      </w:r>
      <w:r w:rsidR="00B3567B">
        <w:rPr>
          <w:rFonts w:ascii="Times New Roman" w:hAnsi="Times New Roman" w:cs="Times New Roman"/>
          <w:sz w:val="24"/>
          <w:szCs w:val="24"/>
        </w:rPr>
        <w:t>Yaoundé</w:t>
      </w:r>
      <w:r>
        <w:rPr>
          <w:rFonts w:ascii="Times New Roman" w:hAnsi="Times New Roman" w:cs="Times New Roman"/>
          <w:sz w:val="24"/>
          <w:szCs w:val="24"/>
        </w:rPr>
        <w:t xml:space="preserve">  </w:t>
      </w:r>
      <w:r w:rsidR="00B3567B">
        <w:rPr>
          <w:rFonts w:ascii="Times New Roman" w:hAnsi="Times New Roman" w:cs="Times New Roman"/>
          <w:sz w:val="24"/>
          <w:szCs w:val="24"/>
        </w:rPr>
        <w:t xml:space="preserve">conduit à envisager  l’expérimentation  </w:t>
      </w:r>
      <w:r>
        <w:rPr>
          <w:rFonts w:ascii="Times New Roman" w:hAnsi="Times New Roman" w:cs="Times New Roman"/>
          <w:sz w:val="24"/>
          <w:szCs w:val="24"/>
        </w:rPr>
        <w:t xml:space="preserve"> d’une approche méthodologique </w:t>
      </w:r>
      <w:r w:rsidR="00B3567B">
        <w:rPr>
          <w:rFonts w:ascii="Times New Roman" w:hAnsi="Times New Roman" w:cs="Times New Roman"/>
          <w:sz w:val="24"/>
          <w:szCs w:val="24"/>
        </w:rPr>
        <w:t xml:space="preserve">qui facilitera une gouvernance foncière durable. Le Land </w:t>
      </w:r>
      <w:proofErr w:type="spellStart"/>
      <w:r w:rsidR="00B3567B">
        <w:rPr>
          <w:rFonts w:ascii="Times New Roman" w:hAnsi="Times New Roman" w:cs="Times New Roman"/>
          <w:sz w:val="24"/>
          <w:szCs w:val="24"/>
        </w:rPr>
        <w:t>Pooling</w:t>
      </w:r>
      <w:proofErr w:type="spellEnd"/>
      <w:r w:rsidR="00B3567B">
        <w:rPr>
          <w:rFonts w:ascii="Times New Roman" w:hAnsi="Times New Roman" w:cs="Times New Roman"/>
          <w:sz w:val="24"/>
          <w:szCs w:val="24"/>
        </w:rPr>
        <w:t xml:space="preserve"> et le Land </w:t>
      </w:r>
      <w:proofErr w:type="spellStart"/>
      <w:r w:rsidR="00B3567B">
        <w:rPr>
          <w:rFonts w:ascii="Times New Roman" w:hAnsi="Times New Roman" w:cs="Times New Roman"/>
          <w:sz w:val="24"/>
          <w:szCs w:val="24"/>
        </w:rPr>
        <w:t>Readjustment</w:t>
      </w:r>
      <w:proofErr w:type="spellEnd"/>
      <w:r w:rsidR="00B3567B">
        <w:rPr>
          <w:rFonts w:ascii="Times New Roman" w:hAnsi="Times New Roman" w:cs="Times New Roman"/>
          <w:sz w:val="24"/>
          <w:szCs w:val="24"/>
        </w:rPr>
        <w:t xml:space="preserve"> peuvent concilier les exigences de développement</w:t>
      </w:r>
      <w:r w:rsidR="00FB1F20">
        <w:rPr>
          <w:rFonts w:ascii="Times New Roman" w:hAnsi="Times New Roman" w:cs="Times New Roman"/>
          <w:sz w:val="24"/>
          <w:szCs w:val="24"/>
        </w:rPr>
        <w:t xml:space="preserve"> économique</w:t>
      </w:r>
      <w:r w:rsidR="00B3567B">
        <w:rPr>
          <w:rFonts w:ascii="Times New Roman" w:hAnsi="Times New Roman" w:cs="Times New Roman"/>
          <w:sz w:val="24"/>
          <w:szCs w:val="24"/>
        </w:rPr>
        <w:t xml:space="preserve"> avec l’impératif de préservation des identités</w:t>
      </w:r>
      <w:r w:rsidR="00FB1F20">
        <w:rPr>
          <w:rFonts w:ascii="Times New Roman" w:hAnsi="Times New Roman" w:cs="Times New Roman"/>
          <w:sz w:val="24"/>
          <w:szCs w:val="24"/>
        </w:rPr>
        <w:t xml:space="preserve"> sociologiques</w:t>
      </w:r>
      <w:r w:rsidR="00B3567B">
        <w:rPr>
          <w:rFonts w:ascii="Times New Roman" w:hAnsi="Times New Roman" w:cs="Times New Roman"/>
          <w:sz w:val="24"/>
          <w:szCs w:val="24"/>
        </w:rPr>
        <w:t xml:space="preserve"> dans les grandes villes du Cameroun.</w:t>
      </w:r>
      <w:r w:rsidR="00FB1F20">
        <w:rPr>
          <w:rFonts w:ascii="Times New Roman" w:hAnsi="Times New Roman" w:cs="Times New Roman"/>
          <w:sz w:val="24"/>
          <w:szCs w:val="24"/>
        </w:rPr>
        <w:t xml:space="preserve"> Il incombe donc de présenter</w:t>
      </w:r>
      <w:r w:rsidR="007F7A6F">
        <w:rPr>
          <w:rFonts w:ascii="Times New Roman" w:hAnsi="Times New Roman" w:cs="Times New Roman"/>
          <w:sz w:val="24"/>
          <w:szCs w:val="24"/>
        </w:rPr>
        <w:t xml:space="preserve"> l</w:t>
      </w:r>
      <w:r w:rsidR="00217C0F">
        <w:rPr>
          <w:rFonts w:ascii="Times New Roman" w:hAnsi="Times New Roman" w:cs="Times New Roman"/>
          <w:sz w:val="24"/>
          <w:szCs w:val="24"/>
        </w:rPr>
        <w:t>e</w:t>
      </w:r>
      <w:r w:rsidR="007F7A6F">
        <w:rPr>
          <w:rFonts w:ascii="Times New Roman" w:hAnsi="Times New Roman" w:cs="Times New Roman"/>
          <w:sz w:val="24"/>
          <w:szCs w:val="24"/>
        </w:rPr>
        <w:t>s</w:t>
      </w:r>
      <w:r w:rsidR="00FB1F20">
        <w:rPr>
          <w:rFonts w:ascii="Times New Roman" w:hAnsi="Times New Roman" w:cs="Times New Roman"/>
          <w:sz w:val="24"/>
          <w:szCs w:val="24"/>
        </w:rPr>
        <w:t xml:space="preserve"> lignes forces méthodologiques</w:t>
      </w:r>
      <w:r w:rsidR="007F7A6F">
        <w:rPr>
          <w:rFonts w:ascii="Times New Roman" w:hAnsi="Times New Roman" w:cs="Times New Roman"/>
          <w:sz w:val="24"/>
          <w:szCs w:val="24"/>
        </w:rPr>
        <w:t xml:space="preserve"> du LP et du LR </w:t>
      </w:r>
      <w:r w:rsidR="00FB1F20">
        <w:rPr>
          <w:rFonts w:ascii="Times New Roman" w:hAnsi="Times New Roman" w:cs="Times New Roman"/>
          <w:sz w:val="24"/>
          <w:szCs w:val="24"/>
        </w:rPr>
        <w:t>(A) et d’énoncer le principe d’</w:t>
      </w:r>
      <w:proofErr w:type="spellStart"/>
      <w:r w:rsidR="00FB1F20">
        <w:rPr>
          <w:rFonts w:ascii="Times New Roman" w:hAnsi="Times New Roman" w:cs="Times New Roman"/>
          <w:sz w:val="24"/>
          <w:szCs w:val="24"/>
        </w:rPr>
        <w:t>abaliété</w:t>
      </w:r>
      <w:proofErr w:type="spellEnd"/>
      <w:r w:rsidR="00FB1F20">
        <w:rPr>
          <w:rFonts w:ascii="Times New Roman" w:hAnsi="Times New Roman" w:cs="Times New Roman"/>
          <w:sz w:val="24"/>
          <w:szCs w:val="24"/>
        </w:rPr>
        <w:t xml:space="preserve"> juridique qui pourrait les sous-tendre.</w:t>
      </w:r>
    </w:p>
    <w:p w:rsidR="00FB1F20" w:rsidRPr="00DC4B29" w:rsidRDefault="00FB1F20" w:rsidP="00B3567B">
      <w:pPr>
        <w:tabs>
          <w:tab w:val="left" w:pos="435"/>
          <w:tab w:val="left" w:pos="1860"/>
        </w:tabs>
        <w:spacing w:after="0"/>
        <w:jc w:val="both"/>
        <w:rPr>
          <w:rFonts w:ascii="Times New Roman" w:hAnsi="Times New Roman" w:cs="Times New Roman"/>
          <w:sz w:val="24"/>
          <w:szCs w:val="24"/>
        </w:rPr>
      </w:pPr>
    </w:p>
    <w:p w:rsidR="00C33C91" w:rsidRDefault="0052271B" w:rsidP="000C6800">
      <w:pPr>
        <w:tabs>
          <w:tab w:val="left" w:pos="435"/>
          <w:tab w:val="left" w:pos="1860"/>
        </w:tabs>
        <w:spacing w:after="0"/>
        <w:jc w:val="both"/>
        <w:rPr>
          <w:rFonts w:ascii="Times New Roman" w:hAnsi="Times New Roman" w:cs="Times New Roman"/>
          <w:b/>
          <w:sz w:val="24"/>
          <w:szCs w:val="24"/>
        </w:rPr>
      </w:pPr>
      <w:r w:rsidRPr="0052271B">
        <w:rPr>
          <w:rFonts w:ascii="Times New Roman" w:hAnsi="Times New Roman" w:cs="Times New Roman"/>
          <w:b/>
          <w:sz w:val="24"/>
          <w:szCs w:val="24"/>
        </w:rPr>
        <w:lastRenderedPageBreak/>
        <w:t>A</w:t>
      </w:r>
      <w:r w:rsidR="00EE7453">
        <w:rPr>
          <w:rFonts w:ascii="Times New Roman" w:hAnsi="Times New Roman" w:cs="Times New Roman"/>
          <w:b/>
          <w:sz w:val="24"/>
          <w:szCs w:val="24"/>
        </w:rPr>
        <w:t xml:space="preserve"> </w:t>
      </w:r>
      <w:r w:rsidR="00FB1F20">
        <w:rPr>
          <w:rFonts w:ascii="Times New Roman" w:hAnsi="Times New Roman" w:cs="Times New Roman"/>
          <w:b/>
          <w:sz w:val="24"/>
          <w:szCs w:val="24"/>
        </w:rPr>
        <w:t xml:space="preserve">Lignes forces méthodologiques du </w:t>
      </w:r>
      <w:r w:rsidR="00F77A1B">
        <w:rPr>
          <w:rFonts w:ascii="Times New Roman" w:hAnsi="Times New Roman" w:cs="Times New Roman"/>
          <w:b/>
          <w:sz w:val="24"/>
          <w:szCs w:val="24"/>
        </w:rPr>
        <w:t xml:space="preserve">Land </w:t>
      </w:r>
      <w:proofErr w:type="spellStart"/>
      <w:r w:rsidR="00F77A1B">
        <w:rPr>
          <w:rFonts w:ascii="Times New Roman" w:hAnsi="Times New Roman" w:cs="Times New Roman"/>
          <w:b/>
          <w:sz w:val="24"/>
          <w:szCs w:val="24"/>
        </w:rPr>
        <w:t>Pooling</w:t>
      </w:r>
      <w:proofErr w:type="spellEnd"/>
      <w:r w:rsidR="00F77A1B">
        <w:rPr>
          <w:rFonts w:ascii="Times New Roman" w:hAnsi="Times New Roman" w:cs="Times New Roman"/>
          <w:b/>
          <w:sz w:val="24"/>
          <w:szCs w:val="24"/>
        </w:rPr>
        <w:t xml:space="preserve"> et</w:t>
      </w:r>
      <w:r w:rsidR="00FB1F20">
        <w:rPr>
          <w:rFonts w:ascii="Times New Roman" w:hAnsi="Times New Roman" w:cs="Times New Roman"/>
          <w:b/>
          <w:sz w:val="24"/>
          <w:szCs w:val="24"/>
        </w:rPr>
        <w:t xml:space="preserve"> du</w:t>
      </w:r>
      <w:r w:rsidR="00F77A1B">
        <w:rPr>
          <w:rFonts w:ascii="Times New Roman" w:hAnsi="Times New Roman" w:cs="Times New Roman"/>
          <w:b/>
          <w:sz w:val="24"/>
          <w:szCs w:val="24"/>
        </w:rPr>
        <w:t xml:space="preserve"> Land </w:t>
      </w:r>
      <w:proofErr w:type="spellStart"/>
      <w:r w:rsidR="00F77A1B">
        <w:rPr>
          <w:rFonts w:ascii="Times New Roman" w:hAnsi="Times New Roman" w:cs="Times New Roman"/>
          <w:b/>
          <w:sz w:val="24"/>
          <w:szCs w:val="24"/>
        </w:rPr>
        <w:t>Readjusment</w:t>
      </w:r>
      <w:proofErr w:type="spellEnd"/>
      <w:r w:rsidR="00F77A1B">
        <w:rPr>
          <w:rFonts w:ascii="Times New Roman" w:hAnsi="Times New Roman" w:cs="Times New Roman"/>
          <w:b/>
          <w:sz w:val="24"/>
          <w:szCs w:val="24"/>
        </w:rPr>
        <w:t> </w:t>
      </w:r>
      <w:r w:rsidR="00EE7453">
        <w:rPr>
          <w:rFonts w:ascii="Times New Roman" w:hAnsi="Times New Roman" w:cs="Times New Roman"/>
          <w:b/>
          <w:sz w:val="24"/>
          <w:szCs w:val="24"/>
        </w:rPr>
        <w:t xml:space="preserve"> </w:t>
      </w:r>
    </w:p>
    <w:p w:rsidR="00217C0F" w:rsidRPr="00C20656" w:rsidRDefault="006D4C41"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Le PVGFD</w:t>
      </w:r>
      <w:r w:rsidR="00CA46B2" w:rsidRPr="00C20656">
        <w:rPr>
          <w:rFonts w:ascii="Times New Roman" w:hAnsi="Times New Roman" w:cs="Times New Roman"/>
          <w:sz w:val="24"/>
          <w:szCs w:val="24"/>
        </w:rPr>
        <w:t xml:space="preserve"> qui a cours en ce moment au Cam</w:t>
      </w:r>
      <w:r w:rsidRPr="00C20656">
        <w:rPr>
          <w:rFonts w:ascii="Times New Roman" w:hAnsi="Times New Roman" w:cs="Times New Roman"/>
          <w:sz w:val="24"/>
          <w:szCs w:val="24"/>
        </w:rPr>
        <w:t xml:space="preserve">eroun </w:t>
      </w:r>
      <w:r w:rsidR="00217C0F" w:rsidRPr="00C20656">
        <w:rPr>
          <w:rFonts w:ascii="Times New Roman" w:hAnsi="Times New Roman" w:cs="Times New Roman"/>
          <w:sz w:val="24"/>
          <w:szCs w:val="24"/>
        </w:rPr>
        <w:t>pourrait dans</w:t>
      </w:r>
      <w:r w:rsidR="007F7A6F" w:rsidRPr="00C20656">
        <w:rPr>
          <w:rFonts w:ascii="Times New Roman" w:hAnsi="Times New Roman" w:cs="Times New Roman"/>
          <w:sz w:val="24"/>
          <w:szCs w:val="24"/>
        </w:rPr>
        <w:t xml:space="preserve"> son volet foncier recourir au LP et au LR parce </w:t>
      </w:r>
      <w:r w:rsidR="00217C0F" w:rsidRPr="00C20656">
        <w:rPr>
          <w:rFonts w:ascii="Times New Roman" w:hAnsi="Times New Roman" w:cs="Times New Roman"/>
          <w:sz w:val="24"/>
          <w:szCs w:val="24"/>
        </w:rPr>
        <w:t>que ces</w:t>
      </w:r>
      <w:r w:rsidR="007F7A6F" w:rsidRPr="00C20656">
        <w:rPr>
          <w:rFonts w:ascii="Times New Roman" w:hAnsi="Times New Roman" w:cs="Times New Roman"/>
          <w:sz w:val="24"/>
          <w:szCs w:val="24"/>
        </w:rPr>
        <w:t xml:space="preserve"> deux</w:t>
      </w:r>
      <w:r w:rsidR="00217C0F" w:rsidRPr="00C20656">
        <w:rPr>
          <w:rFonts w:ascii="Times New Roman" w:hAnsi="Times New Roman" w:cs="Times New Roman"/>
          <w:sz w:val="24"/>
          <w:szCs w:val="24"/>
        </w:rPr>
        <w:t xml:space="preserve"> approches ont</w:t>
      </w:r>
      <w:r w:rsidR="00F66EF6" w:rsidRPr="00C20656">
        <w:rPr>
          <w:rFonts w:ascii="Times New Roman" w:hAnsi="Times New Roman" w:cs="Times New Roman"/>
          <w:sz w:val="24"/>
          <w:szCs w:val="24"/>
        </w:rPr>
        <w:t xml:space="preserve"> donné la preuve de leur efficacité </w:t>
      </w:r>
      <w:r w:rsidR="00217C0F" w:rsidRPr="00C20656">
        <w:rPr>
          <w:rFonts w:ascii="Times New Roman" w:hAnsi="Times New Roman" w:cs="Times New Roman"/>
          <w:sz w:val="24"/>
          <w:szCs w:val="24"/>
        </w:rPr>
        <w:t>dans le défi d’industrialisation</w:t>
      </w:r>
      <w:r w:rsidR="00F66EF6" w:rsidRPr="00C20656">
        <w:rPr>
          <w:rFonts w:ascii="Times New Roman" w:hAnsi="Times New Roman" w:cs="Times New Roman"/>
          <w:sz w:val="24"/>
          <w:szCs w:val="24"/>
        </w:rPr>
        <w:t xml:space="preserve"> dans les grandes métropoles mondiales</w:t>
      </w:r>
      <w:r w:rsidR="00217C0F" w:rsidRPr="00C20656">
        <w:rPr>
          <w:rFonts w:ascii="Times New Roman" w:hAnsi="Times New Roman" w:cs="Times New Roman"/>
          <w:sz w:val="24"/>
          <w:szCs w:val="24"/>
        </w:rPr>
        <w:t xml:space="preserve">. Le Land </w:t>
      </w:r>
      <w:proofErr w:type="spellStart"/>
      <w:r w:rsidR="00217C0F" w:rsidRPr="00C20656">
        <w:rPr>
          <w:rFonts w:ascii="Times New Roman" w:hAnsi="Times New Roman" w:cs="Times New Roman"/>
          <w:sz w:val="24"/>
          <w:szCs w:val="24"/>
        </w:rPr>
        <w:t>Pooling</w:t>
      </w:r>
      <w:proofErr w:type="spellEnd"/>
      <w:r w:rsidR="00F66EF6" w:rsidRPr="00C20656">
        <w:rPr>
          <w:rFonts w:ascii="Times New Roman" w:hAnsi="Times New Roman" w:cs="Times New Roman"/>
          <w:sz w:val="24"/>
          <w:szCs w:val="24"/>
        </w:rPr>
        <w:t xml:space="preserve"> </w:t>
      </w:r>
      <w:r w:rsidR="00217C0F" w:rsidRPr="00C20656">
        <w:rPr>
          <w:rFonts w:ascii="Times New Roman" w:hAnsi="Times New Roman" w:cs="Times New Roman"/>
          <w:sz w:val="24"/>
          <w:szCs w:val="24"/>
        </w:rPr>
        <w:t>renvoie à une approche de gestion foncière urbaine  dans laquelle les propriétaires fonciers peuvent transférer pour l’exécution d’un projet   leurs droits fonciers sur un espace  à la municipalité et jouir en retour  d’une partie de cet espace après l’achèvement du projet</w:t>
      </w:r>
      <w:r w:rsidR="00C20656" w:rsidRPr="00C20656">
        <w:rPr>
          <w:rFonts w:ascii="Times New Roman" w:hAnsi="Times New Roman" w:cs="Times New Roman"/>
          <w:sz w:val="24"/>
          <w:szCs w:val="24"/>
        </w:rPr>
        <w:t xml:space="preserve"> Les propriétaires fon</w:t>
      </w:r>
      <w:r w:rsidR="00B420B9" w:rsidRPr="00C20656">
        <w:rPr>
          <w:rFonts w:ascii="Times New Roman" w:hAnsi="Times New Roman" w:cs="Times New Roman"/>
          <w:sz w:val="24"/>
          <w:szCs w:val="24"/>
        </w:rPr>
        <w:t xml:space="preserve">ciers s’installent provisoirement non loin du site </w:t>
      </w:r>
      <w:r w:rsidR="00184463" w:rsidRPr="00C20656">
        <w:rPr>
          <w:rFonts w:ascii="Times New Roman" w:hAnsi="Times New Roman" w:cs="Times New Roman"/>
          <w:sz w:val="24"/>
          <w:szCs w:val="24"/>
        </w:rPr>
        <w:t>.</w:t>
      </w:r>
      <w:r w:rsidR="00217C0F" w:rsidRPr="00C20656">
        <w:rPr>
          <w:rFonts w:ascii="Times New Roman" w:hAnsi="Times New Roman" w:cs="Times New Roman"/>
          <w:sz w:val="24"/>
          <w:szCs w:val="24"/>
        </w:rPr>
        <w:t xml:space="preserve">Le Land </w:t>
      </w:r>
      <w:proofErr w:type="spellStart"/>
      <w:r w:rsidR="00217C0F" w:rsidRPr="00C20656">
        <w:rPr>
          <w:rFonts w:ascii="Times New Roman" w:hAnsi="Times New Roman" w:cs="Times New Roman"/>
          <w:sz w:val="24"/>
          <w:szCs w:val="24"/>
        </w:rPr>
        <w:t>Readjustment</w:t>
      </w:r>
      <w:proofErr w:type="spellEnd"/>
      <w:r w:rsidR="00217C0F" w:rsidRPr="00C20656">
        <w:rPr>
          <w:rFonts w:ascii="Times New Roman" w:hAnsi="Times New Roman" w:cs="Times New Roman"/>
          <w:sz w:val="24"/>
          <w:szCs w:val="24"/>
        </w:rPr>
        <w:t xml:space="preserve"> désigne l’approche de gestion foncière urbaine dans laquelle les propriétaires fonciers peuvent transférer temporairement leurs droits fonciers sans une incidence de modification de titre foncier et autoriser les autorités gouvernementales de  redessiner les limites  de bornage pour la construction des routes secondaires et des édifices publics à usage local. </w:t>
      </w:r>
      <w:r w:rsidR="00217C0F" w:rsidRPr="00C20656">
        <w:rPr>
          <w:rFonts w:ascii="Times New Roman" w:hAnsi="Times New Roman" w:cs="Times New Roman"/>
          <w:b/>
          <w:sz w:val="24"/>
          <w:szCs w:val="24"/>
        </w:rPr>
        <w:t>Dans cette partie du travail l’usage du LP et du LR est interchangeable</w:t>
      </w:r>
      <w:r w:rsidR="00217C0F" w:rsidRPr="00C20656">
        <w:rPr>
          <w:rFonts w:ascii="Times New Roman" w:hAnsi="Times New Roman" w:cs="Times New Roman"/>
          <w:sz w:val="24"/>
          <w:szCs w:val="24"/>
        </w:rPr>
        <w:t xml:space="preserve">. Le Land </w:t>
      </w:r>
      <w:proofErr w:type="spellStart"/>
      <w:r w:rsidR="00217C0F" w:rsidRPr="00C20656">
        <w:rPr>
          <w:rFonts w:ascii="Times New Roman" w:hAnsi="Times New Roman" w:cs="Times New Roman"/>
          <w:sz w:val="24"/>
          <w:szCs w:val="24"/>
        </w:rPr>
        <w:t>Pooling</w:t>
      </w:r>
      <w:proofErr w:type="spellEnd"/>
      <w:r w:rsidR="00217C0F" w:rsidRPr="00C20656">
        <w:rPr>
          <w:rFonts w:ascii="Times New Roman" w:hAnsi="Times New Roman" w:cs="Times New Roman"/>
          <w:sz w:val="24"/>
          <w:szCs w:val="24"/>
        </w:rPr>
        <w:t xml:space="preserve">  s’exécute dans le cadre d’un projet mais ne saurait être applicable à tous les projets. Trois orientations de projets peuvent convoquer le mécanisme du Land </w:t>
      </w:r>
      <w:proofErr w:type="spellStart"/>
      <w:r w:rsidR="00217C0F" w:rsidRPr="00C20656">
        <w:rPr>
          <w:rFonts w:ascii="Times New Roman" w:hAnsi="Times New Roman" w:cs="Times New Roman"/>
          <w:sz w:val="24"/>
          <w:szCs w:val="24"/>
        </w:rPr>
        <w:t>Readjustment</w:t>
      </w:r>
      <w:proofErr w:type="spellEnd"/>
      <w:r w:rsidR="00217C0F" w:rsidRPr="00C20656">
        <w:rPr>
          <w:rFonts w:ascii="Times New Roman" w:hAnsi="Times New Roman" w:cs="Times New Roman"/>
          <w:sz w:val="24"/>
          <w:szCs w:val="24"/>
        </w:rPr>
        <w:t> : La régénération</w:t>
      </w:r>
      <w:r w:rsidR="00184463" w:rsidRPr="00C20656">
        <w:rPr>
          <w:rFonts w:ascii="Times New Roman" w:hAnsi="Times New Roman" w:cs="Times New Roman"/>
          <w:sz w:val="24"/>
          <w:szCs w:val="24"/>
        </w:rPr>
        <w:t xml:space="preserve"> </w:t>
      </w:r>
      <w:r w:rsidR="00217C0F" w:rsidRPr="00C20656">
        <w:rPr>
          <w:rFonts w:ascii="Times New Roman" w:hAnsi="Times New Roman" w:cs="Times New Roman"/>
          <w:sz w:val="24"/>
          <w:szCs w:val="24"/>
        </w:rPr>
        <w:t xml:space="preserve">urbaine entrainant la reconfiguration architecturale des quartiers pauvres et des bidonvilles, la périurbanisation et la reconstruction  des espaces fortement touchés par un désastre ou  un conflit. Le land </w:t>
      </w:r>
      <w:proofErr w:type="spellStart"/>
      <w:r w:rsidR="00217C0F" w:rsidRPr="00C20656">
        <w:rPr>
          <w:rFonts w:ascii="Times New Roman" w:hAnsi="Times New Roman" w:cs="Times New Roman"/>
          <w:sz w:val="24"/>
          <w:szCs w:val="24"/>
        </w:rPr>
        <w:t>Pooling</w:t>
      </w:r>
      <w:proofErr w:type="spellEnd"/>
      <w:r w:rsidR="00217C0F" w:rsidRPr="00C20656">
        <w:rPr>
          <w:rFonts w:ascii="Times New Roman" w:hAnsi="Times New Roman" w:cs="Times New Roman"/>
          <w:sz w:val="24"/>
          <w:szCs w:val="24"/>
        </w:rPr>
        <w:t xml:space="preserve"> n’a jamais été adopté pour les projets d’adductions d’eau  ou pour la construction  des grandes lignes de transport ferroviaire.</w:t>
      </w:r>
    </w:p>
    <w:p w:rsidR="00217C0F" w:rsidRPr="00C20656" w:rsidRDefault="00217C0F"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Le Land </w:t>
      </w:r>
      <w:proofErr w:type="spellStart"/>
      <w:r w:rsidRPr="00C20656">
        <w:rPr>
          <w:rFonts w:ascii="Times New Roman" w:hAnsi="Times New Roman" w:cs="Times New Roman"/>
          <w:sz w:val="24"/>
          <w:szCs w:val="24"/>
        </w:rPr>
        <w:t>Pooling</w:t>
      </w:r>
      <w:proofErr w:type="spellEnd"/>
      <w:r w:rsidRPr="00C20656">
        <w:rPr>
          <w:rFonts w:ascii="Times New Roman" w:hAnsi="Times New Roman" w:cs="Times New Roman"/>
          <w:sz w:val="24"/>
          <w:szCs w:val="24"/>
        </w:rPr>
        <w:t xml:space="preserve">  met trois acteurs  en présence à savoir la municipalité ; l’agence d’exécution du projet et la communauté des propriétaires fonciers. Il convoque pour sa réalisation six préalables sur lesquels les acteurs peuvent trouver des éléments de souplesse.</w:t>
      </w:r>
    </w:p>
    <w:p w:rsidR="00217C0F" w:rsidRPr="00C20656" w:rsidRDefault="00217C0F"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La première condition réside sur le fait que la communauté des propriétaires fonciers manifeste la ferme intention de rester sur le site du projet. La  deuxième condition  est la disponibilité des ressources financières  devant couvrir tous les objectifs du projet. La troisième condition est l’existence  d’une législation qui permet  l’implémentation du Land </w:t>
      </w:r>
      <w:proofErr w:type="spellStart"/>
      <w:r w:rsidRPr="00C20656">
        <w:rPr>
          <w:rFonts w:ascii="Times New Roman" w:hAnsi="Times New Roman" w:cs="Times New Roman"/>
          <w:sz w:val="24"/>
          <w:szCs w:val="24"/>
        </w:rPr>
        <w:t>Readjustment</w:t>
      </w:r>
      <w:proofErr w:type="spellEnd"/>
      <w:r w:rsidRPr="00C20656">
        <w:rPr>
          <w:rFonts w:ascii="Times New Roman" w:hAnsi="Times New Roman" w:cs="Times New Roman"/>
          <w:sz w:val="24"/>
          <w:szCs w:val="24"/>
        </w:rPr>
        <w:t xml:space="preserve">. La quatrième condition s’appuie sur des droits fonciers clairement délimités. Le Land </w:t>
      </w:r>
      <w:proofErr w:type="spellStart"/>
      <w:r w:rsidRPr="00C20656">
        <w:rPr>
          <w:rFonts w:ascii="Times New Roman" w:hAnsi="Times New Roman" w:cs="Times New Roman"/>
          <w:sz w:val="24"/>
          <w:szCs w:val="24"/>
        </w:rPr>
        <w:t>Pooling</w:t>
      </w:r>
      <w:proofErr w:type="spellEnd"/>
      <w:r w:rsidRPr="00C20656">
        <w:rPr>
          <w:rFonts w:ascii="Times New Roman" w:hAnsi="Times New Roman" w:cs="Times New Roman"/>
          <w:sz w:val="24"/>
          <w:szCs w:val="24"/>
        </w:rPr>
        <w:t xml:space="preserve">  demande </w:t>
      </w:r>
      <w:proofErr w:type="gramStart"/>
      <w:r w:rsidRPr="00C20656">
        <w:rPr>
          <w:rFonts w:ascii="Times New Roman" w:hAnsi="Times New Roman" w:cs="Times New Roman"/>
          <w:sz w:val="24"/>
          <w:szCs w:val="24"/>
        </w:rPr>
        <w:t>un dynamique  marché</w:t>
      </w:r>
      <w:proofErr w:type="gramEnd"/>
      <w:r w:rsidRPr="00C20656">
        <w:rPr>
          <w:rFonts w:ascii="Times New Roman" w:hAnsi="Times New Roman" w:cs="Times New Roman"/>
          <w:sz w:val="24"/>
          <w:szCs w:val="24"/>
        </w:rPr>
        <w:t xml:space="preserve"> de l’immobilier. La sixième condition reconnait les relations de confiance qui existent dans la communauté des propriétaires.</w:t>
      </w:r>
    </w:p>
    <w:p w:rsidR="00F77A1B" w:rsidRPr="00C20656" w:rsidRDefault="00217C0F" w:rsidP="00C20656">
      <w:pPr>
        <w:tabs>
          <w:tab w:val="left" w:pos="435"/>
          <w:tab w:val="left" w:pos="18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w:t>
      </w:r>
      <w:r w:rsidR="00E16CE3" w:rsidRPr="00C20656">
        <w:rPr>
          <w:rFonts w:ascii="Times New Roman" w:hAnsi="Times New Roman" w:cs="Times New Roman"/>
          <w:sz w:val="24"/>
          <w:szCs w:val="24"/>
        </w:rPr>
        <w:t xml:space="preserve">Dans le Land </w:t>
      </w:r>
      <w:proofErr w:type="spellStart"/>
      <w:r w:rsidR="00E16CE3" w:rsidRPr="00C20656">
        <w:rPr>
          <w:rFonts w:ascii="Times New Roman" w:hAnsi="Times New Roman" w:cs="Times New Roman"/>
          <w:sz w:val="24"/>
          <w:szCs w:val="24"/>
        </w:rPr>
        <w:t>Pooling</w:t>
      </w:r>
      <w:proofErr w:type="spellEnd"/>
      <w:r w:rsidRPr="00C20656">
        <w:rPr>
          <w:rFonts w:ascii="Times New Roman" w:hAnsi="Times New Roman" w:cs="Times New Roman"/>
          <w:sz w:val="24"/>
          <w:szCs w:val="24"/>
        </w:rPr>
        <w:t xml:space="preserve"> </w:t>
      </w:r>
      <w:r w:rsidR="00E16CE3" w:rsidRPr="00C20656">
        <w:rPr>
          <w:rFonts w:ascii="Times New Roman" w:hAnsi="Times New Roman" w:cs="Times New Roman"/>
          <w:sz w:val="24"/>
          <w:szCs w:val="24"/>
        </w:rPr>
        <w:t>l’unanimité n’est jamais atteinte dans la communauté des propriétaires fonciers c’est pourquoi il est admis qu’ils soient 75% pour obtenir la super majorité. Le LP poursuit dans son accomplissement cinq résultats stratégiques : Il s’agit d’augmenter le potentiel de densités spatiales afin de rendre possible l’expansion et la revitalisation urbaines.</w:t>
      </w:r>
      <w:r w:rsidR="00170CEA" w:rsidRPr="00C20656">
        <w:rPr>
          <w:rFonts w:ascii="Times New Roman" w:hAnsi="Times New Roman" w:cs="Times New Roman"/>
          <w:sz w:val="24"/>
          <w:szCs w:val="24"/>
        </w:rPr>
        <w:t xml:space="preserve"> </w:t>
      </w:r>
      <w:r w:rsidR="00E16CE3" w:rsidRPr="00C20656">
        <w:rPr>
          <w:rFonts w:ascii="Times New Roman" w:hAnsi="Times New Roman" w:cs="Times New Roman"/>
          <w:sz w:val="24"/>
          <w:szCs w:val="24"/>
        </w:rPr>
        <w:t>Il vise en outre à redévelopper les espaces urbains  en s’</w:t>
      </w:r>
      <w:r w:rsidR="00983929" w:rsidRPr="00C20656">
        <w:rPr>
          <w:rFonts w:ascii="Times New Roman" w:hAnsi="Times New Roman" w:cs="Times New Roman"/>
          <w:sz w:val="24"/>
          <w:szCs w:val="24"/>
        </w:rPr>
        <w:t>appuyant sur une mise à jour performée du cadastre. Il se propose d’engager la pauvreté en mi</w:t>
      </w:r>
      <w:r w:rsidR="00170CEA" w:rsidRPr="00C20656">
        <w:rPr>
          <w:rFonts w:ascii="Times New Roman" w:hAnsi="Times New Roman" w:cs="Times New Roman"/>
          <w:sz w:val="24"/>
          <w:szCs w:val="24"/>
        </w:rPr>
        <w:t>lieu urbain dans des décisions pa</w:t>
      </w:r>
      <w:r w:rsidR="00983929" w:rsidRPr="00C20656">
        <w:rPr>
          <w:rFonts w:ascii="Times New Roman" w:hAnsi="Times New Roman" w:cs="Times New Roman"/>
          <w:sz w:val="24"/>
          <w:szCs w:val="24"/>
        </w:rPr>
        <w:t xml:space="preserve">rticipatives de </w:t>
      </w:r>
      <w:proofErr w:type="spellStart"/>
      <w:r w:rsidR="00170CEA" w:rsidRPr="00C20656">
        <w:rPr>
          <w:rFonts w:ascii="Times New Roman" w:hAnsi="Times New Roman" w:cs="Times New Roman"/>
          <w:sz w:val="24"/>
          <w:szCs w:val="24"/>
        </w:rPr>
        <w:t>co-prospérité</w:t>
      </w:r>
      <w:proofErr w:type="spellEnd"/>
      <w:r w:rsidR="00983929" w:rsidRPr="00C20656">
        <w:rPr>
          <w:rFonts w:ascii="Times New Roman" w:hAnsi="Times New Roman" w:cs="Times New Roman"/>
          <w:sz w:val="24"/>
          <w:szCs w:val="24"/>
        </w:rPr>
        <w:t xml:space="preserve"> </w:t>
      </w:r>
      <w:r w:rsidR="00170CEA" w:rsidRPr="00C20656">
        <w:rPr>
          <w:rFonts w:ascii="Times New Roman" w:hAnsi="Times New Roman" w:cs="Times New Roman"/>
          <w:sz w:val="24"/>
          <w:szCs w:val="24"/>
        </w:rPr>
        <w:t>et non</w:t>
      </w:r>
      <w:r w:rsidR="00983929" w:rsidRPr="00C20656">
        <w:rPr>
          <w:rFonts w:ascii="Times New Roman" w:hAnsi="Times New Roman" w:cs="Times New Roman"/>
          <w:sz w:val="24"/>
          <w:szCs w:val="24"/>
        </w:rPr>
        <w:t xml:space="preserve"> de déplacement forcé.</w:t>
      </w:r>
      <w:r w:rsidR="00170CEA" w:rsidRPr="00C20656">
        <w:rPr>
          <w:rFonts w:ascii="Times New Roman" w:hAnsi="Times New Roman" w:cs="Times New Roman"/>
          <w:sz w:val="24"/>
          <w:szCs w:val="24"/>
        </w:rPr>
        <w:t xml:space="preserve"> Le LR poursuit le noble objectif d’encourager une ingénierie d’apprentissage social devant construire une gouvernance </w:t>
      </w:r>
      <w:proofErr w:type="spellStart"/>
      <w:r w:rsidR="00170CEA" w:rsidRPr="00C20656">
        <w:rPr>
          <w:rFonts w:ascii="Times New Roman" w:hAnsi="Times New Roman" w:cs="Times New Roman"/>
          <w:sz w:val="24"/>
          <w:szCs w:val="24"/>
        </w:rPr>
        <w:t>locale.</w:t>
      </w:r>
      <w:r w:rsidR="00EE73C6" w:rsidRPr="00C20656">
        <w:rPr>
          <w:rFonts w:ascii="Times New Roman" w:hAnsi="Times New Roman" w:cs="Times New Roman"/>
          <w:sz w:val="24"/>
          <w:szCs w:val="24"/>
        </w:rPr>
        <w:t>Il</w:t>
      </w:r>
      <w:proofErr w:type="spellEnd"/>
      <w:r w:rsidR="00EE73C6" w:rsidRPr="00C20656">
        <w:rPr>
          <w:rFonts w:ascii="Times New Roman" w:hAnsi="Times New Roman" w:cs="Times New Roman"/>
          <w:sz w:val="24"/>
          <w:szCs w:val="24"/>
        </w:rPr>
        <w:t xml:space="preserve"> est question enfin de mobiliser  une approche incrémentale de la val</w:t>
      </w:r>
      <w:r w:rsidR="009516D7" w:rsidRPr="00C20656">
        <w:rPr>
          <w:rFonts w:ascii="Times New Roman" w:hAnsi="Times New Roman" w:cs="Times New Roman"/>
          <w:sz w:val="24"/>
          <w:szCs w:val="24"/>
        </w:rPr>
        <w:t>orisation</w:t>
      </w:r>
      <w:r w:rsidR="00EE73C6" w:rsidRPr="00C20656">
        <w:rPr>
          <w:rFonts w:ascii="Times New Roman" w:hAnsi="Times New Roman" w:cs="Times New Roman"/>
          <w:sz w:val="24"/>
          <w:szCs w:val="24"/>
        </w:rPr>
        <w:t xml:space="preserve"> foncière en amortissant les coûts de </w:t>
      </w:r>
      <w:r w:rsidR="00B420B9" w:rsidRPr="00C20656">
        <w:rPr>
          <w:rFonts w:ascii="Times New Roman" w:hAnsi="Times New Roman" w:cs="Times New Roman"/>
          <w:sz w:val="24"/>
          <w:szCs w:val="24"/>
        </w:rPr>
        <w:t>redéveloppement</w:t>
      </w:r>
      <w:r w:rsidR="00EE73C6" w:rsidRPr="00C20656">
        <w:rPr>
          <w:rFonts w:ascii="Times New Roman" w:hAnsi="Times New Roman" w:cs="Times New Roman"/>
          <w:sz w:val="24"/>
          <w:szCs w:val="24"/>
        </w:rPr>
        <w:t>.</w:t>
      </w:r>
      <w:r w:rsidR="00B420B9" w:rsidRPr="00C20656">
        <w:rPr>
          <w:rFonts w:ascii="Times New Roman" w:hAnsi="Times New Roman" w:cs="Times New Roman"/>
          <w:sz w:val="24"/>
          <w:szCs w:val="24"/>
        </w:rPr>
        <w:t xml:space="preserve"> </w:t>
      </w:r>
    </w:p>
    <w:p w:rsidR="00983929" w:rsidRPr="00C20656" w:rsidRDefault="00B420B9" w:rsidP="00C20656">
      <w:pPr>
        <w:tabs>
          <w:tab w:val="left" w:pos="435"/>
          <w:tab w:val="left" w:pos="1860"/>
        </w:tabs>
        <w:spacing w:after="0" w:line="240" w:lineRule="auto"/>
        <w:jc w:val="both"/>
        <w:rPr>
          <w:rFonts w:ascii="Times New Roman" w:hAnsi="Times New Roman" w:cs="Times New Roman"/>
          <w:sz w:val="24"/>
          <w:szCs w:val="24"/>
        </w:rPr>
      </w:pPr>
      <w:proofErr w:type="gramStart"/>
      <w:r w:rsidRPr="00C20656">
        <w:rPr>
          <w:rFonts w:ascii="Times New Roman" w:hAnsi="Times New Roman" w:cs="Times New Roman"/>
          <w:sz w:val="24"/>
          <w:szCs w:val="24"/>
        </w:rPr>
        <w:t>Enfin ,</w:t>
      </w:r>
      <w:proofErr w:type="gramEnd"/>
      <w:r w:rsidRPr="00C20656">
        <w:rPr>
          <w:rFonts w:ascii="Times New Roman" w:hAnsi="Times New Roman" w:cs="Times New Roman"/>
          <w:sz w:val="24"/>
          <w:szCs w:val="24"/>
        </w:rPr>
        <w:t xml:space="preserve"> il est judicieux de marquer la démarcation du LP et du LR avec ce qu’on pourrait appeler le domaine éminent de l’É</w:t>
      </w:r>
      <w:r w:rsidR="009516D7" w:rsidRPr="00C20656">
        <w:rPr>
          <w:rFonts w:ascii="Times New Roman" w:hAnsi="Times New Roman" w:cs="Times New Roman"/>
          <w:sz w:val="24"/>
          <w:szCs w:val="24"/>
        </w:rPr>
        <w:t>tat. Il existe cinq</w:t>
      </w:r>
      <w:r w:rsidRPr="00C20656">
        <w:rPr>
          <w:rFonts w:ascii="Times New Roman" w:hAnsi="Times New Roman" w:cs="Times New Roman"/>
          <w:sz w:val="24"/>
          <w:szCs w:val="24"/>
        </w:rPr>
        <w:t xml:space="preserve"> points de </w:t>
      </w:r>
      <w:r w:rsidR="009516D7" w:rsidRPr="00C20656">
        <w:rPr>
          <w:rFonts w:ascii="Times New Roman" w:hAnsi="Times New Roman" w:cs="Times New Roman"/>
          <w:sz w:val="24"/>
          <w:szCs w:val="24"/>
        </w:rPr>
        <w:t xml:space="preserve">divergences. La première réside sur la compensation foncière pour le LP et le LR, et la compensation financière pour le domaine éminent. La seconde est la logique </w:t>
      </w:r>
      <w:r w:rsidR="009516D7" w:rsidRPr="00C20656">
        <w:rPr>
          <w:rFonts w:ascii="Times New Roman" w:hAnsi="Times New Roman" w:cs="Times New Roman"/>
          <w:i/>
          <w:sz w:val="24"/>
          <w:szCs w:val="24"/>
        </w:rPr>
        <w:t>in situ</w:t>
      </w:r>
      <w:r w:rsidR="009516D7" w:rsidRPr="00C20656">
        <w:rPr>
          <w:rFonts w:ascii="Times New Roman" w:hAnsi="Times New Roman" w:cs="Times New Roman"/>
          <w:sz w:val="24"/>
          <w:szCs w:val="24"/>
        </w:rPr>
        <w:t xml:space="preserve"> de l’un et le recasement hors du site pour l’autre. La troisième repose sur l’approche communautaire pour l’un et le mécanisme de prise de décisions pour l’autre. La quatrième constate la valorisation foncière pour l’un et le rapt foncier pour l’autre. Le cinquième point de différence est </w:t>
      </w:r>
      <w:r w:rsidR="00316422" w:rsidRPr="00C20656">
        <w:rPr>
          <w:rFonts w:ascii="Times New Roman" w:hAnsi="Times New Roman" w:cs="Times New Roman"/>
          <w:sz w:val="24"/>
          <w:szCs w:val="24"/>
        </w:rPr>
        <w:t>l’allègement par</w:t>
      </w:r>
      <w:r w:rsidR="00C20656">
        <w:rPr>
          <w:rFonts w:ascii="Times New Roman" w:hAnsi="Times New Roman" w:cs="Times New Roman"/>
          <w:sz w:val="24"/>
          <w:szCs w:val="24"/>
        </w:rPr>
        <w:t xml:space="preserve"> </w:t>
      </w:r>
      <w:r w:rsidR="00316422" w:rsidRPr="00C20656">
        <w:rPr>
          <w:rFonts w:ascii="Times New Roman" w:hAnsi="Times New Roman" w:cs="Times New Roman"/>
          <w:sz w:val="24"/>
          <w:szCs w:val="24"/>
        </w:rPr>
        <w:t xml:space="preserve">le </w:t>
      </w:r>
      <w:r w:rsidR="00C20656">
        <w:rPr>
          <w:rFonts w:ascii="Times New Roman" w:hAnsi="Times New Roman" w:cs="Times New Roman"/>
          <w:sz w:val="24"/>
          <w:szCs w:val="24"/>
        </w:rPr>
        <w:t>L</w:t>
      </w:r>
      <w:r w:rsidR="00316422" w:rsidRPr="00C20656">
        <w:rPr>
          <w:rFonts w:ascii="Times New Roman" w:hAnsi="Times New Roman" w:cs="Times New Roman"/>
          <w:sz w:val="24"/>
          <w:szCs w:val="24"/>
        </w:rPr>
        <w:t>R et le</w:t>
      </w:r>
      <w:r w:rsidR="00C20656">
        <w:rPr>
          <w:rFonts w:ascii="Times New Roman" w:hAnsi="Times New Roman" w:cs="Times New Roman"/>
          <w:sz w:val="24"/>
          <w:szCs w:val="24"/>
        </w:rPr>
        <w:t xml:space="preserve"> LP  du risque </w:t>
      </w:r>
      <w:proofErr w:type="spellStart"/>
      <w:r w:rsidR="00C20656">
        <w:rPr>
          <w:rFonts w:ascii="Times New Roman" w:hAnsi="Times New Roman" w:cs="Times New Roman"/>
          <w:sz w:val="24"/>
          <w:szCs w:val="24"/>
        </w:rPr>
        <w:t>socoéconomique</w:t>
      </w:r>
      <w:proofErr w:type="spellEnd"/>
      <w:r w:rsidR="00C20656">
        <w:rPr>
          <w:rFonts w:ascii="Times New Roman" w:hAnsi="Times New Roman" w:cs="Times New Roman"/>
          <w:sz w:val="24"/>
          <w:szCs w:val="24"/>
        </w:rPr>
        <w:t>.</w:t>
      </w:r>
    </w:p>
    <w:p w:rsidR="006D4C41" w:rsidRDefault="006D4C41" w:rsidP="00C20656">
      <w:pPr>
        <w:tabs>
          <w:tab w:val="left" w:pos="435"/>
          <w:tab w:val="left" w:pos="1860"/>
        </w:tabs>
        <w:spacing w:after="0" w:line="240" w:lineRule="auto"/>
        <w:jc w:val="both"/>
        <w:rPr>
          <w:rFonts w:ascii="Times New Roman" w:hAnsi="Times New Roman" w:cs="Times New Roman"/>
          <w:sz w:val="24"/>
          <w:szCs w:val="24"/>
        </w:rPr>
      </w:pPr>
    </w:p>
    <w:p w:rsidR="00C20656" w:rsidRDefault="00C20656" w:rsidP="00C20656">
      <w:pPr>
        <w:tabs>
          <w:tab w:val="left" w:pos="435"/>
          <w:tab w:val="left" w:pos="1860"/>
        </w:tabs>
        <w:spacing w:after="0" w:line="240" w:lineRule="auto"/>
        <w:jc w:val="both"/>
        <w:rPr>
          <w:rFonts w:ascii="Times New Roman" w:hAnsi="Times New Roman" w:cs="Times New Roman"/>
          <w:sz w:val="24"/>
          <w:szCs w:val="24"/>
        </w:rPr>
      </w:pPr>
    </w:p>
    <w:p w:rsidR="00C20656" w:rsidRDefault="00C20656" w:rsidP="00C20656">
      <w:pPr>
        <w:tabs>
          <w:tab w:val="left" w:pos="435"/>
          <w:tab w:val="left" w:pos="1860"/>
        </w:tabs>
        <w:spacing w:after="0" w:line="240" w:lineRule="auto"/>
        <w:jc w:val="both"/>
        <w:rPr>
          <w:rFonts w:ascii="Times New Roman" w:hAnsi="Times New Roman" w:cs="Times New Roman"/>
          <w:sz w:val="24"/>
          <w:szCs w:val="24"/>
        </w:rPr>
      </w:pPr>
    </w:p>
    <w:p w:rsidR="00C20656" w:rsidRPr="00C20656" w:rsidRDefault="00C20656"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0C6800" w:rsidP="00C20656">
      <w:pPr>
        <w:pStyle w:val="Paragraphedeliste"/>
        <w:numPr>
          <w:ilvl w:val="0"/>
          <w:numId w:val="7"/>
        </w:numPr>
        <w:tabs>
          <w:tab w:val="left" w:pos="435"/>
          <w:tab w:val="left" w:pos="1860"/>
        </w:tabs>
        <w:spacing w:after="0" w:line="240" w:lineRule="auto"/>
        <w:jc w:val="both"/>
        <w:rPr>
          <w:rFonts w:ascii="Times New Roman" w:hAnsi="Times New Roman" w:cs="Times New Roman"/>
          <w:b/>
          <w:sz w:val="24"/>
          <w:szCs w:val="24"/>
        </w:rPr>
      </w:pPr>
      <w:r w:rsidRPr="00C20656">
        <w:rPr>
          <w:rFonts w:ascii="Times New Roman" w:hAnsi="Times New Roman" w:cs="Times New Roman"/>
          <w:b/>
          <w:sz w:val="24"/>
          <w:szCs w:val="24"/>
        </w:rPr>
        <w:t>L</w:t>
      </w:r>
      <w:r w:rsidR="0052271B" w:rsidRPr="00C20656">
        <w:rPr>
          <w:rFonts w:ascii="Times New Roman" w:hAnsi="Times New Roman" w:cs="Times New Roman"/>
          <w:b/>
          <w:sz w:val="24"/>
          <w:szCs w:val="24"/>
        </w:rPr>
        <w:t>’</w:t>
      </w:r>
      <w:proofErr w:type="spellStart"/>
      <w:r w:rsidR="0052271B" w:rsidRPr="00C20656">
        <w:rPr>
          <w:rFonts w:ascii="Times New Roman" w:hAnsi="Times New Roman" w:cs="Times New Roman"/>
          <w:b/>
          <w:sz w:val="24"/>
          <w:szCs w:val="24"/>
        </w:rPr>
        <w:t>abaliété</w:t>
      </w:r>
      <w:proofErr w:type="spellEnd"/>
      <w:r w:rsidR="0052271B" w:rsidRPr="00C20656">
        <w:rPr>
          <w:rFonts w:ascii="Times New Roman" w:hAnsi="Times New Roman" w:cs="Times New Roman"/>
          <w:b/>
          <w:sz w:val="24"/>
          <w:szCs w:val="24"/>
        </w:rPr>
        <w:t xml:space="preserve"> juridique</w:t>
      </w:r>
      <w:r w:rsidR="00217C0F" w:rsidRPr="00C20656">
        <w:rPr>
          <w:rFonts w:ascii="Times New Roman" w:hAnsi="Times New Roman" w:cs="Times New Roman"/>
          <w:b/>
          <w:sz w:val="24"/>
          <w:szCs w:val="24"/>
        </w:rPr>
        <w:t xml:space="preserve"> comme</w:t>
      </w:r>
      <w:r w:rsidRPr="00C20656">
        <w:rPr>
          <w:rFonts w:ascii="Times New Roman" w:hAnsi="Times New Roman" w:cs="Times New Roman"/>
          <w:b/>
          <w:sz w:val="24"/>
          <w:szCs w:val="24"/>
        </w:rPr>
        <w:t xml:space="preserve"> parangon </w:t>
      </w:r>
      <w:r w:rsidR="00217C0F" w:rsidRPr="00C20656">
        <w:rPr>
          <w:rFonts w:ascii="Times New Roman" w:hAnsi="Times New Roman" w:cs="Times New Roman"/>
          <w:b/>
          <w:sz w:val="24"/>
          <w:szCs w:val="24"/>
        </w:rPr>
        <w:t xml:space="preserve"> théorique </w:t>
      </w:r>
      <w:r w:rsidRPr="00C20656">
        <w:rPr>
          <w:rFonts w:ascii="Times New Roman" w:hAnsi="Times New Roman" w:cs="Times New Roman"/>
          <w:b/>
          <w:sz w:val="24"/>
          <w:szCs w:val="24"/>
        </w:rPr>
        <w:t>de la clause de patrimonialité</w:t>
      </w:r>
    </w:p>
    <w:p w:rsidR="00695ED8" w:rsidRPr="00C20656" w:rsidRDefault="00695ED8" w:rsidP="00C20656">
      <w:pPr>
        <w:tabs>
          <w:tab w:val="left" w:pos="3759"/>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La démarche qui sous-tend l’analyse de cette expression s’appuie-t-elle sur la </w:t>
      </w:r>
      <w:proofErr w:type="spellStart"/>
      <w:r w:rsidRPr="00C20656">
        <w:rPr>
          <w:rFonts w:ascii="Times New Roman" w:hAnsi="Times New Roman" w:cs="Times New Roman"/>
          <w:sz w:val="24"/>
          <w:szCs w:val="24"/>
        </w:rPr>
        <w:t>sérendipité</w:t>
      </w:r>
      <w:proofErr w:type="spellEnd"/>
      <w:r w:rsidRPr="00C20656">
        <w:rPr>
          <w:rFonts w:ascii="Times New Roman" w:hAnsi="Times New Roman" w:cs="Times New Roman"/>
          <w:sz w:val="24"/>
          <w:szCs w:val="24"/>
        </w:rPr>
        <w:t>. Etienne Le Roy</w:t>
      </w:r>
      <w:r w:rsidR="006350E4" w:rsidRPr="00C20656">
        <w:rPr>
          <w:rStyle w:val="Appelnotedebasdep"/>
          <w:rFonts w:ascii="Times New Roman" w:hAnsi="Times New Roman" w:cs="Times New Roman"/>
          <w:sz w:val="24"/>
          <w:szCs w:val="24"/>
        </w:rPr>
        <w:footnoteReference w:id="14"/>
      </w:r>
      <w:r w:rsidRPr="00C20656">
        <w:rPr>
          <w:rFonts w:ascii="Times New Roman" w:hAnsi="Times New Roman" w:cs="Times New Roman"/>
          <w:sz w:val="24"/>
          <w:szCs w:val="24"/>
        </w:rPr>
        <w:t xml:space="preserve"> la définit comme</w:t>
      </w:r>
    </w:p>
    <w:p w:rsidR="00695ED8" w:rsidRPr="00C20656" w:rsidRDefault="00695ED8" w:rsidP="00C20656">
      <w:pPr>
        <w:tabs>
          <w:tab w:val="left" w:pos="3759"/>
        </w:tabs>
        <w:spacing w:after="0" w:line="240" w:lineRule="auto"/>
        <w:ind w:left="1134" w:right="1134"/>
        <w:jc w:val="both"/>
        <w:rPr>
          <w:rFonts w:ascii="Times New Roman" w:hAnsi="Times New Roman" w:cs="Times New Roman"/>
          <w:sz w:val="24"/>
          <w:szCs w:val="24"/>
        </w:rPr>
      </w:pPr>
      <w:proofErr w:type="gramStart"/>
      <w:r w:rsidRPr="00C20656">
        <w:rPr>
          <w:rFonts w:ascii="Times New Roman" w:hAnsi="Times New Roman" w:cs="Times New Roman"/>
          <w:i/>
          <w:sz w:val="24"/>
          <w:szCs w:val="24"/>
        </w:rPr>
        <w:t>le</w:t>
      </w:r>
      <w:proofErr w:type="gramEnd"/>
      <w:r w:rsidRPr="00C20656">
        <w:rPr>
          <w:rFonts w:ascii="Times New Roman" w:hAnsi="Times New Roman" w:cs="Times New Roman"/>
          <w:i/>
          <w:sz w:val="24"/>
          <w:szCs w:val="24"/>
        </w:rPr>
        <w:t xml:space="preserve"> don, grâce à une observation surprenante, de faire des trouvailles et la faculté de découvrir, d’inventer et de créer ce qui n’était pas recherché</w:t>
      </w:r>
      <w:r w:rsidRPr="00C20656">
        <w:rPr>
          <w:rFonts w:ascii="Times New Roman" w:hAnsi="Times New Roman" w:cs="Times New Roman"/>
          <w:sz w:val="24"/>
          <w:szCs w:val="24"/>
        </w:rPr>
        <w:t>.</w:t>
      </w:r>
    </w:p>
    <w:p w:rsidR="00695ED8" w:rsidRPr="00C20656" w:rsidRDefault="00695ED8" w:rsidP="00C20656">
      <w:pPr>
        <w:tabs>
          <w:tab w:val="left" w:pos="3759"/>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Ce qui est certain c’est que le choix de cette expression ne s’est pas fait in abrupto, il obéit à une lame de fond méthodologique inspirée par Jean Loup </w:t>
      </w:r>
      <w:proofErr w:type="spellStart"/>
      <w:r w:rsidRPr="00C20656">
        <w:rPr>
          <w:rFonts w:ascii="Times New Roman" w:hAnsi="Times New Roman" w:cs="Times New Roman"/>
          <w:sz w:val="24"/>
          <w:szCs w:val="24"/>
        </w:rPr>
        <w:t>Amselle</w:t>
      </w:r>
      <w:proofErr w:type="spellEnd"/>
      <w:r w:rsidR="006350E4" w:rsidRPr="00C20656">
        <w:rPr>
          <w:rStyle w:val="Appelnotedebasdep"/>
          <w:rFonts w:ascii="Times New Roman" w:hAnsi="Times New Roman" w:cs="Times New Roman"/>
          <w:sz w:val="24"/>
          <w:szCs w:val="24"/>
        </w:rPr>
        <w:footnoteReference w:id="15"/>
      </w:r>
      <w:r w:rsidRPr="00C20656">
        <w:rPr>
          <w:rFonts w:ascii="Times New Roman" w:hAnsi="Times New Roman" w:cs="Times New Roman"/>
          <w:sz w:val="24"/>
          <w:szCs w:val="24"/>
        </w:rPr>
        <w:t>) qui précise qu’</w:t>
      </w:r>
    </w:p>
    <w:p w:rsidR="00695ED8" w:rsidRPr="00C20656" w:rsidRDefault="00695ED8" w:rsidP="00C20656">
      <w:pPr>
        <w:tabs>
          <w:tab w:val="left" w:pos="3759"/>
        </w:tabs>
        <w:spacing w:after="0" w:line="240" w:lineRule="auto"/>
        <w:ind w:left="1134" w:right="1134"/>
        <w:jc w:val="both"/>
        <w:rPr>
          <w:rFonts w:ascii="Times New Roman" w:hAnsi="Times New Roman" w:cs="Times New Roman"/>
          <w:sz w:val="24"/>
          <w:szCs w:val="24"/>
        </w:rPr>
      </w:pPr>
      <w:proofErr w:type="gramStart"/>
      <w:r w:rsidRPr="00C20656">
        <w:rPr>
          <w:rFonts w:ascii="Times New Roman" w:hAnsi="Times New Roman" w:cs="Times New Roman"/>
          <w:i/>
          <w:sz w:val="24"/>
          <w:szCs w:val="24"/>
        </w:rPr>
        <w:t>une</w:t>
      </w:r>
      <w:proofErr w:type="gramEnd"/>
      <w:r w:rsidRPr="00C20656">
        <w:rPr>
          <w:rFonts w:ascii="Times New Roman" w:hAnsi="Times New Roman" w:cs="Times New Roman"/>
          <w:i/>
          <w:sz w:val="24"/>
          <w:szCs w:val="24"/>
        </w:rPr>
        <w:t xml:space="preserve"> des tâches de l’anthropologie secondée par la linguistique et l’histoire pourrait être précisément de cerner l’univers sémantique des catégories recueillies sur le terrain en fonction de l’époque, du lieu et de la situation sociale retenus</w:t>
      </w:r>
      <w:r w:rsidRPr="00C20656">
        <w:rPr>
          <w:rFonts w:ascii="Times New Roman" w:hAnsi="Times New Roman" w:cs="Times New Roman"/>
          <w:sz w:val="24"/>
          <w:szCs w:val="24"/>
        </w:rPr>
        <w:t>.</w:t>
      </w:r>
    </w:p>
    <w:p w:rsidR="00695ED8" w:rsidRPr="00C20656" w:rsidRDefault="00695ED8" w:rsidP="00C20656">
      <w:pPr>
        <w:tabs>
          <w:tab w:val="left" w:pos="3759"/>
        </w:tabs>
        <w:spacing w:after="0" w:line="240" w:lineRule="auto"/>
        <w:ind w:right="1134"/>
        <w:jc w:val="both"/>
        <w:rPr>
          <w:rFonts w:ascii="Times New Roman" w:hAnsi="Times New Roman" w:cs="Times New Roman"/>
          <w:sz w:val="24"/>
          <w:szCs w:val="24"/>
        </w:rPr>
      </w:pPr>
      <w:r w:rsidRPr="00C20656">
        <w:rPr>
          <w:rFonts w:ascii="Times New Roman" w:hAnsi="Times New Roman" w:cs="Times New Roman"/>
          <w:sz w:val="24"/>
          <w:szCs w:val="24"/>
        </w:rPr>
        <w:t>Il fait par la suite cette recommandation :</w:t>
      </w:r>
    </w:p>
    <w:p w:rsidR="00695ED8" w:rsidRPr="00C20656" w:rsidRDefault="00695ED8" w:rsidP="00C20656">
      <w:pPr>
        <w:tabs>
          <w:tab w:val="left" w:pos="3759"/>
        </w:tabs>
        <w:spacing w:after="0" w:line="240" w:lineRule="auto"/>
        <w:ind w:left="1134" w:right="1134"/>
        <w:jc w:val="both"/>
        <w:rPr>
          <w:rFonts w:ascii="Times New Roman" w:hAnsi="Times New Roman" w:cs="Times New Roman"/>
          <w:sz w:val="24"/>
          <w:szCs w:val="24"/>
        </w:rPr>
      </w:pPr>
      <w:r w:rsidRPr="00C20656">
        <w:rPr>
          <w:rFonts w:ascii="Times New Roman" w:hAnsi="Times New Roman" w:cs="Times New Roman"/>
          <w:i/>
          <w:sz w:val="24"/>
          <w:szCs w:val="24"/>
        </w:rPr>
        <w:t xml:space="preserve"> Il serait préférable de montrer comment un terme situé dans le temps et dans l’espace acquiert progressivement une multiplicité de sens, en somme d’établir la genèse des symboles</w:t>
      </w:r>
      <w:r w:rsidRPr="00C20656">
        <w:rPr>
          <w:rFonts w:ascii="Times New Roman" w:hAnsi="Times New Roman" w:cs="Times New Roman"/>
          <w:sz w:val="24"/>
          <w:szCs w:val="24"/>
        </w:rPr>
        <w:t>.</w:t>
      </w:r>
      <w:r w:rsidR="006350E4" w:rsidRPr="00C20656">
        <w:rPr>
          <w:rStyle w:val="Appelnotedebasdep"/>
          <w:rFonts w:ascii="Times New Roman" w:hAnsi="Times New Roman" w:cs="Times New Roman"/>
          <w:sz w:val="24"/>
          <w:szCs w:val="24"/>
        </w:rPr>
        <w:footnoteReference w:id="16"/>
      </w:r>
    </w:p>
    <w:p w:rsidR="0052271B" w:rsidRPr="00C20656" w:rsidRDefault="0052271B" w:rsidP="00C20656">
      <w:pPr>
        <w:tabs>
          <w:tab w:val="left" w:pos="3360"/>
        </w:tabs>
        <w:spacing w:after="0" w:line="240" w:lineRule="auto"/>
        <w:rPr>
          <w:rFonts w:ascii="Times New Roman" w:hAnsi="Times New Roman" w:cs="Times New Roman"/>
          <w:sz w:val="24"/>
          <w:szCs w:val="24"/>
        </w:rPr>
      </w:pPr>
      <w:r w:rsidRPr="00C20656">
        <w:rPr>
          <w:rFonts w:ascii="Times New Roman" w:hAnsi="Times New Roman" w:cs="Times New Roman"/>
          <w:sz w:val="24"/>
          <w:szCs w:val="24"/>
        </w:rPr>
        <w:t>Etienne Le Roy</w:t>
      </w:r>
      <w:r w:rsidRPr="00C20656">
        <w:rPr>
          <w:rFonts w:ascii="Times New Roman" w:hAnsi="Times New Roman" w:cs="Times New Roman"/>
          <w:sz w:val="24"/>
          <w:szCs w:val="24"/>
        </w:rPr>
        <w:fldChar w:fldCharType="begin"/>
      </w:r>
      <w:r w:rsidRPr="00C20656">
        <w:rPr>
          <w:rFonts w:ascii="Times New Roman" w:hAnsi="Times New Roman" w:cs="Times New Roman"/>
          <w:sz w:val="24"/>
          <w:szCs w:val="24"/>
        </w:rPr>
        <w:instrText xml:space="preserve"> XE "Le Roy" </w:instrText>
      </w:r>
      <w:r w:rsidRPr="00C20656">
        <w:rPr>
          <w:rFonts w:ascii="Times New Roman" w:hAnsi="Times New Roman" w:cs="Times New Roman"/>
          <w:sz w:val="24"/>
          <w:szCs w:val="24"/>
        </w:rPr>
        <w:fldChar w:fldCharType="end"/>
      </w:r>
      <w:r w:rsidR="00C20656">
        <w:rPr>
          <w:rFonts w:ascii="Times New Roman" w:hAnsi="Times New Roman" w:cs="Times New Roman"/>
          <w:sz w:val="24"/>
          <w:szCs w:val="24"/>
        </w:rPr>
        <w:t xml:space="preserve"> </w:t>
      </w:r>
      <w:r w:rsidR="00C20656" w:rsidRPr="00C20656">
        <w:rPr>
          <w:rStyle w:val="Appelnotedebasdep"/>
          <w:rFonts w:ascii="Times New Roman" w:hAnsi="Times New Roman" w:cs="Times New Roman"/>
          <w:sz w:val="24"/>
          <w:szCs w:val="24"/>
        </w:rPr>
        <w:footnoteReference w:id="17"/>
      </w:r>
      <w:r w:rsidRPr="00C20656">
        <w:rPr>
          <w:rFonts w:ascii="Times New Roman" w:hAnsi="Times New Roman" w:cs="Times New Roman"/>
          <w:sz w:val="24"/>
          <w:szCs w:val="24"/>
        </w:rPr>
        <w:t xml:space="preserve">  affirme </w:t>
      </w:r>
    </w:p>
    <w:p w:rsidR="0052271B" w:rsidRPr="00C20656" w:rsidRDefault="0052271B" w:rsidP="00C20656">
      <w:pPr>
        <w:tabs>
          <w:tab w:val="left" w:pos="3360"/>
        </w:tabs>
        <w:spacing w:after="0" w:line="240" w:lineRule="auto"/>
        <w:ind w:left="1134" w:right="1134"/>
        <w:jc w:val="both"/>
        <w:rPr>
          <w:rFonts w:ascii="Times New Roman" w:hAnsi="Times New Roman" w:cs="Times New Roman"/>
          <w:sz w:val="24"/>
          <w:szCs w:val="24"/>
        </w:rPr>
      </w:pPr>
      <w:r w:rsidRPr="00C20656">
        <w:rPr>
          <w:rFonts w:ascii="Times New Roman" w:hAnsi="Times New Roman" w:cs="Times New Roman"/>
          <w:sz w:val="24"/>
          <w:szCs w:val="24"/>
        </w:rPr>
        <w:t xml:space="preserve">Chaque mot  a une histoire particulière et chacune de nos histoires de chercheur a des interactions fortes avec certains mots qui constituent notre lexique plus ou moins partagé au sein d’une communauté  épistémique  par ceux qui partagent un point de vue problématique commun </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D’origine latine </w:t>
      </w:r>
      <w:proofErr w:type="spellStart"/>
      <w:r w:rsidRPr="00C20656">
        <w:rPr>
          <w:rFonts w:ascii="Times New Roman" w:hAnsi="Times New Roman" w:cs="Times New Roman"/>
          <w:i/>
          <w:sz w:val="24"/>
          <w:szCs w:val="24"/>
        </w:rPr>
        <w:t>abalietas</w:t>
      </w:r>
      <w:proofErr w:type="spellEnd"/>
      <w:r w:rsidRPr="00C20656">
        <w:rPr>
          <w:rFonts w:ascii="Times New Roman" w:hAnsi="Times New Roman" w:cs="Times New Roman"/>
          <w:sz w:val="24"/>
          <w:szCs w:val="24"/>
        </w:rPr>
        <w:t xml:space="preserve"> lui-même qui dérive de </w:t>
      </w:r>
      <w:r w:rsidRPr="00C20656">
        <w:rPr>
          <w:rFonts w:ascii="Times New Roman" w:hAnsi="Times New Roman" w:cs="Times New Roman"/>
          <w:i/>
          <w:sz w:val="24"/>
          <w:szCs w:val="24"/>
        </w:rPr>
        <w:t xml:space="preserve">ab </w:t>
      </w:r>
      <w:proofErr w:type="spellStart"/>
      <w:r w:rsidRPr="00C20656">
        <w:rPr>
          <w:rFonts w:ascii="Times New Roman" w:hAnsi="Times New Roman" w:cs="Times New Roman"/>
          <w:i/>
          <w:sz w:val="24"/>
          <w:szCs w:val="24"/>
        </w:rPr>
        <w:t>illo</w:t>
      </w:r>
      <w:proofErr w:type="spellEnd"/>
      <w:r w:rsidRPr="00C20656">
        <w:rPr>
          <w:rFonts w:ascii="Times New Roman" w:hAnsi="Times New Roman" w:cs="Times New Roman"/>
          <w:i/>
          <w:sz w:val="24"/>
          <w:szCs w:val="24"/>
        </w:rPr>
        <w:t> </w:t>
      </w:r>
      <w:proofErr w:type="gramStart"/>
      <w:r w:rsidRPr="00C20656">
        <w:rPr>
          <w:rFonts w:ascii="Times New Roman" w:hAnsi="Times New Roman" w:cs="Times New Roman"/>
          <w:sz w:val="24"/>
          <w:szCs w:val="24"/>
        </w:rPr>
        <w:t>( par</w:t>
      </w:r>
      <w:proofErr w:type="gramEnd"/>
      <w:r w:rsidRPr="00C20656">
        <w:rPr>
          <w:rFonts w:ascii="Times New Roman" w:hAnsi="Times New Roman" w:cs="Times New Roman"/>
          <w:sz w:val="24"/>
          <w:szCs w:val="24"/>
        </w:rPr>
        <w:t xml:space="preserve"> l’autre ; par celui-là) ce concept puisé dans la philosophie aristotélicienne est fortement développé  par l’école scolastique. La notion d’</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est explicable à travers  le prisme de la </w:t>
      </w:r>
      <w:proofErr w:type="spellStart"/>
      <w:r w:rsidRPr="00C20656">
        <w:rPr>
          <w:rFonts w:ascii="Times New Roman" w:hAnsi="Times New Roman" w:cs="Times New Roman"/>
          <w:sz w:val="24"/>
          <w:szCs w:val="24"/>
        </w:rPr>
        <w:t>gemellité</w:t>
      </w:r>
      <w:proofErr w:type="spellEnd"/>
      <w:r w:rsidRPr="00C20656">
        <w:rPr>
          <w:rFonts w:ascii="Times New Roman" w:hAnsi="Times New Roman" w:cs="Times New Roman"/>
          <w:sz w:val="24"/>
          <w:szCs w:val="24"/>
        </w:rPr>
        <w:t xml:space="preserve"> qui met toujours ensemble  le  binôme </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w:t>
      </w:r>
      <w:proofErr w:type="spellStart"/>
      <w:r w:rsidRPr="00C20656">
        <w:rPr>
          <w:rFonts w:ascii="Times New Roman" w:hAnsi="Times New Roman" w:cs="Times New Roman"/>
          <w:sz w:val="24"/>
          <w:szCs w:val="24"/>
        </w:rPr>
        <w:t>asséité</w:t>
      </w:r>
      <w:proofErr w:type="spellEnd"/>
      <w:r w:rsidRPr="00C20656">
        <w:rPr>
          <w:rFonts w:ascii="Times New Roman" w:hAnsi="Times New Roman" w:cs="Times New Roman"/>
          <w:sz w:val="24"/>
          <w:szCs w:val="24"/>
        </w:rPr>
        <w:t xml:space="preserve">.  Ainsi pour  des chercheurs comme Bruno </w:t>
      </w:r>
      <w:proofErr w:type="spellStart"/>
      <w:r w:rsidRPr="00C20656">
        <w:rPr>
          <w:rFonts w:ascii="Times New Roman" w:hAnsi="Times New Roman" w:cs="Times New Roman"/>
          <w:sz w:val="24"/>
          <w:szCs w:val="24"/>
        </w:rPr>
        <w:t>Latour</w:t>
      </w:r>
      <w:proofErr w:type="spellEnd"/>
      <w:r w:rsidRPr="00C20656">
        <w:rPr>
          <w:rFonts w:ascii="Times New Roman" w:hAnsi="Times New Roman" w:cs="Times New Roman"/>
          <w:sz w:val="24"/>
          <w:szCs w:val="24"/>
        </w:rPr>
        <w:fldChar w:fldCharType="begin"/>
      </w:r>
      <w:r w:rsidRPr="00C20656">
        <w:rPr>
          <w:rFonts w:ascii="Times New Roman" w:hAnsi="Times New Roman" w:cs="Times New Roman"/>
          <w:sz w:val="24"/>
          <w:szCs w:val="24"/>
        </w:rPr>
        <w:instrText xml:space="preserve"> XE "Latour" </w:instrText>
      </w:r>
      <w:r w:rsidRPr="00C20656">
        <w:rPr>
          <w:rFonts w:ascii="Times New Roman" w:hAnsi="Times New Roman" w:cs="Times New Roman"/>
          <w:sz w:val="24"/>
          <w:szCs w:val="24"/>
        </w:rPr>
        <w:fldChar w:fldCharType="end"/>
      </w:r>
      <w:r w:rsidRPr="00C20656">
        <w:rPr>
          <w:rFonts w:ascii="Times New Roman" w:hAnsi="Times New Roman" w:cs="Times New Roman"/>
          <w:sz w:val="24"/>
          <w:szCs w:val="24"/>
        </w:rPr>
        <w:t xml:space="preserve"> et Isabelle </w:t>
      </w:r>
      <w:proofErr w:type="spellStart"/>
      <w:r w:rsidRPr="00C20656">
        <w:rPr>
          <w:rFonts w:ascii="Times New Roman" w:hAnsi="Times New Roman" w:cs="Times New Roman"/>
          <w:sz w:val="24"/>
          <w:szCs w:val="24"/>
        </w:rPr>
        <w:t>Stengers</w:t>
      </w:r>
      <w:proofErr w:type="spellEnd"/>
      <w:r w:rsidRPr="00C20656">
        <w:rPr>
          <w:rFonts w:ascii="Times New Roman" w:hAnsi="Times New Roman" w:cs="Times New Roman"/>
          <w:sz w:val="24"/>
          <w:szCs w:val="24"/>
        </w:rPr>
        <w:fldChar w:fldCharType="begin"/>
      </w:r>
      <w:r w:rsidRPr="00C20656">
        <w:rPr>
          <w:rFonts w:ascii="Times New Roman" w:hAnsi="Times New Roman" w:cs="Times New Roman"/>
          <w:sz w:val="24"/>
          <w:szCs w:val="24"/>
        </w:rPr>
        <w:instrText xml:space="preserve"> XE "Stengers" </w:instrText>
      </w:r>
      <w:r w:rsidRPr="00C20656">
        <w:rPr>
          <w:rFonts w:ascii="Times New Roman" w:hAnsi="Times New Roman" w:cs="Times New Roman"/>
          <w:sz w:val="24"/>
          <w:szCs w:val="24"/>
        </w:rPr>
        <w:fldChar w:fldCharType="end"/>
      </w:r>
      <w:r w:rsidRPr="00C20656">
        <w:rPr>
          <w:rFonts w:ascii="Times New Roman" w:hAnsi="Times New Roman" w:cs="Times New Roman"/>
          <w:sz w:val="24"/>
          <w:szCs w:val="24"/>
        </w:rPr>
        <w:t xml:space="preserve"> « l’</w:t>
      </w:r>
      <w:proofErr w:type="spellStart"/>
      <w:r w:rsidRPr="00C20656">
        <w:rPr>
          <w:rFonts w:ascii="Times New Roman" w:hAnsi="Times New Roman" w:cs="Times New Roman"/>
          <w:sz w:val="24"/>
          <w:szCs w:val="24"/>
        </w:rPr>
        <w:t>asséité</w:t>
      </w:r>
      <w:proofErr w:type="spellEnd"/>
      <w:r w:rsidRPr="00C20656">
        <w:rPr>
          <w:rFonts w:ascii="Times New Roman" w:hAnsi="Times New Roman" w:cs="Times New Roman"/>
          <w:sz w:val="24"/>
          <w:szCs w:val="24"/>
        </w:rPr>
        <w:t xml:space="preserve"> (existence en soi) [s’oppose] à l’</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(existence) dans la dépendance d’un autre ». Le concept d’</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s’appréhende donc  comme  une qualité, un état, une faculté à dépendre toujours de l’autre.</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juridique constitue donc un  principe qui postule  la dépendance mutuelle des ordonnancements juridiques en vigueur sur tous les espaces domanialisés</w:t>
      </w:r>
      <w:r w:rsidR="00133BB5" w:rsidRPr="00C20656">
        <w:rPr>
          <w:rFonts w:ascii="Times New Roman" w:hAnsi="Times New Roman" w:cs="Times New Roman"/>
          <w:sz w:val="24"/>
          <w:szCs w:val="24"/>
        </w:rPr>
        <w:t xml:space="preserve"> en proie à la </w:t>
      </w:r>
      <w:proofErr w:type="spellStart"/>
      <w:r w:rsidR="00133BB5" w:rsidRPr="00C20656">
        <w:rPr>
          <w:rFonts w:ascii="Times New Roman" w:hAnsi="Times New Roman" w:cs="Times New Roman"/>
          <w:sz w:val="24"/>
          <w:szCs w:val="24"/>
        </w:rPr>
        <w:t>dépatrimonialisation</w:t>
      </w:r>
      <w:proofErr w:type="spellEnd"/>
      <w:r w:rsidRPr="00C20656">
        <w:rPr>
          <w:rFonts w:ascii="Times New Roman" w:hAnsi="Times New Roman" w:cs="Times New Roman"/>
          <w:sz w:val="24"/>
          <w:szCs w:val="24"/>
        </w:rPr>
        <w:t>. Concrètement  cette interdépendance sacralise la sécurité juridique de la majorité de ces</w:t>
      </w:r>
      <w:r w:rsidR="003A02C0" w:rsidRPr="00C20656">
        <w:rPr>
          <w:rFonts w:ascii="Times New Roman" w:hAnsi="Times New Roman" w:cs="Times New Roman"/>
          <w:sz w:val="24"/>
          <w:szCs w:val="24"/>
        </w:rPr>
        <w:t xml:space="preserve"> </w:t>
      </w:r>
      <w:r w:rsidR="00246BC8"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espaces </w:t>
      </w:r>
      <w:r w:rsidR="00E45CC8" w:rsidRPr="00C20656">
        <w:rPr>
          <w:rFonts w:ascii="Times New Roman" w:hAnsi="Times New Roman" w:cs="Times New Roman"/>
          <w:sz w:val="24"/>
          <w:szCs w:val="24"/>
        </w:rPr>
        <w:t>domanialisés</w:t>
      </w:r>
      <w:r w:rsidRPr="00C20656">
        <w:rPr>
          <w:rFonts w:ascii="Times New Roman" w:hAnsi="Times New Roman" w:cs="Times New Roman"/>
          <w:sz w:val="24"/>
          <w:szCs w:val="24"/>
        </w:rPr>
        <w:t xml:space="preserve"> tout en la subordonnant à un</w:t>
      </w:r>
      <w:r w:rsidR="00316422" w:rsidRPr="00C20656">
        <w:rPr>
          <w:rFonts w:ascii="Times New Roman" w:hAnsi="Times New Roman" w:cs="Times New Roman"/>
          <w:sz w:val="24"/>
          <w:szCs w:val="24"/>
        </w:rPr>
        <w:t xml:space="preserve">e gestion communautarisée avec </w:t>
      </w:r>
      <w:r w:rsidRPr="00C20656">
        <w:rPr>
          <w:rFonts w:ascii="Times New Roman" w:hAnsi="Times New Roman" w:cs="Times New Roman"/>
          <w:sz w:val="24"/>
          <w:szCs w:val="24"/>
        </w:rPr>
        <w:t xml:space="preserve"> la communauté coutumière d</w:t>
      </w:r>
      <w:r w:rsidR="00316422" w:rsidRPr="00C20656">
        <w:rPr>
          <w:rFonts w:ascii="Times New Roman" w:hAnsi="Times New Roman" w:cs="Times New Roman"/>
          <w:sz w:val="24"/>
          <w:szCs w:val="24"/>
        </w:rPr>
        <w:t xml:space="preserve">étentrice des </w:t>
      </w:r>
      <w:proofErr w:type="spellStart"/>
      <w:r w:rsidR="00316422" w:rsidRPr="00C20656">
        <w:rPr>
          <w:rFonts w:ascii="Times New Roman" w:hAnsi="Times New Roman" w:cs="Times New Roman"/>
          <w:sz w:val="24"/>
          <w:szCs w:val="24"/>
        </w:rPr>
        <w:t>doits</w:t>
      </w:r>
      <w:proofErr w:type="spellEnd"/>
      <w:r w:rsidR="00316422" w:rsidRPr="00C20656">
        <w:rPr>
          <w:rFonts w:ascii="Times New Roman" w:hAnsi="Times New Roman" w:cs="Times New Roman"/>
          <w:sz w:val="24"/>
          <w:szCs w:val="24"/>
        </w:rPr>
        <w:t xml:space="preserve"> coutumiers. </w:t>
      </w:r>
      <w:r w:rsidRPr="00C20656">
        <w:rPr>
          <w:rFonts w:ascii="Times New Roman" w:hAnsi="Times New Roman" w:cs="Times New Roman"/>
          <w:sz w:val="24"/>
          <w:szCs w:val="24"/>
        </w:rPr>
        <w:t xml:space="preserve"> Par conséquent, la propriété une fois </w:t>
      </w:r>
      <w:r w:rsidR="00E45CC8" w:rsidRPr="00C20656">
        <w:rPr>
          <w:rFonts w:ascii="Times New Roman" w:hAnsi="Times New Roman" w:cs="Times New Roman"/>
          <w:sz w:val="24"/>
          <w:szCs w:val="24"/>
        </w:rPr>
        <w:t xml:space="preserve">dévolue à </w:t>
      </w:r>
      <w:r w:rsidRPr="00C20656">
        <w:rPr>
          <w:rFonts w:ascii="Times New Roman" w:hAnsi="Times New Roman" w:cs="Times New Roman"/>
          <w:sz w:val="24"/>
          <w:szCs w:val="24"/>
        </w:rPr>
        <w:t xml:space="preserve"> l’État  ne saurait </w:t>
      </w:r>
      <w:r w:rsidR="00E45CC8" w:rsidRPr="00C20656">
        <w:rPr>
          <w:rFonts w:ascii="Times New Roman" w:hAnsi="Times New Roman" w:cs="Times New Roman"/>
          <w:sz w:val="24"/>
          <w:szCs w:val="24"/>
        </w:rPr>
        <w:t xml:space="preserve">lui faire </w:t>
      </w:r>
      <w:r w:rsidRPr="00C20656">
        <w:rPr>
          <w:rFonts w:ascii="Times New Roman" w:hAnsi="Times New Roman" w:cs="Times New Roman"/>
          <w:sz w:val="24"/>
          <w:szCs w:val="24"/>
        </w:rPr>
        <w:t>prévaloir de la plénitude des prérogatives</w:t>
      </w:r>
      <w:r w:rsidR="00E45CC8" w:rsidRPr="00C20656">
        <w:rPr>
          <w:rFonts w:ascii="Times New Roman" w:hAnsi="Times New Roman" w:cs="Times New Roman"/>
          <w:sz w:val="24"/>
          <w:szCs w:val="24"/>
        </w:rPr>
        <w:t xml:space="preserve"> de la puissance publique </w:t>
      </w:r>
      <w:r w:rsidRPr="00C20656">
        <w:rPr>
          <w:rFonts w:ascii="Times New Roman" w:hAnsi="Times New Roman" w:cs="Times New Roman"/>
          <w:sz w:val="24"/>
          <w:szCs w:val="24"/>
        </w:rPr>
        <w:t xml:space="preserve"> que lui confère le droi</w:t>
      </w:r>
      <w:r w:rsidR="00316422" w:rsidRPr="00C20656">
        <w:rPr>
          <w:rFonts w:ascii="Times New Roman" w:hAnsi="Times New Roman" w:cs="Times New Roman"/>
          <w:sz w:val="24"/>
          <w:szCs w:val="24"/>
        </w:rPr>
        <w:t>t</w:t>
      </w:r>
      <w:r w:rsidRPr="00C20656">
        <w:rPr>
          <w:rFonts w:ascii="Times New Roman" w:hAnsi="Times New Roman" w:cs="Times New Roman"/>
          <w:sz w:val="24"/>
          <w:szCs w:val="24"/>
        </w:rPr>
        <w:t xml:space="preserve">. Il devrait introduire dans sa gouvernance foncière des </w:t>
      </w:r>
      <w:r w:rsidRPr="00C20656">
        <w:rPr>
          <w:rFonts w:ascii="Times New Roman" w:hAnsi="Times New Roman" w:cs="Times New Roman"/>
          <w:i/>
          <w:sz w:val="24"/>
          <w:szCs w:val="24"/>
        </w:rPr>
        <w:t xml:space="preserve">best </w:t>
      </w:r>
      <w:proofErr w:type="spellStart"/>
      <w:proofErr w:type="gramStart"/>
      <w:r w:rsidRPr="00C20656">
        <w:rPr>
          <w:rFonts w:ascii="Times New Roman" w:hAnsi="Times New Roman" w:cs="Times New Roman"/>
          <w:i/>
          <w:sz w:val="24"/>
          <w:szCs w:val="24"/>
        </w:rPr>
        <w:t>pratices</w:t>
      </w:r>
      <w:proofErr w:type="spellEnd"/>
      <w:r w:rsidRPr="00C20656">
        <w:rPr>
          <w:rFonts w:ascii="Times New Roman" w:hAnsi="Times New Roman" w:cs="Times New Roman"/>
          <w:sz w:val="24"/>
          <w:szCs w:val="24"/>
        </w:rPr>
        <w:t xml:space="preserve">  .</w:t>
      </w:r>
      <w:proofErr w:type="gramEnd"/>
      <w:r w:rsidRPr="00C20656">
        <w:rPr>
          <w:rFonts w:ascii="Times New Roman" w:hAnsi="Times New Roman" w:cs="Times New Roman"/>
          <w:sz w:val="24"/>
          <w:szCs w:val="24"/>
        </w:rPr>
        <w:t xml:space="preserve"> </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Pour ce faire</w:t>
      </w:r>
      <w:r w:rsidR="00316422"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 le principe d’</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juridique recourt à un maillage de deux volontés théorisées par le sociologue allemand Friedrich Tönnies à savoir « der </w:t>
      </w:r>
      <w:proofErr w:type="spellStart"/>
      <w:r w:rsidRPr="00C20656">
        <w:rPr>
          <w:rFonts w:ascii="Times New Roman" w:hAnsi="Times New Roman" w:cs="Times New Roman"/>
          <w:sz w:val="24"/>
          <w:szCs w:val="24"/>
        </w:rPr>
        <w:t>Wesenswille</w:t>
      </w:r>
      <w:proofErr w:type="spellEnd"/>
      <w:r w:rsidRPr="00C20656">
        <w:rPr>
          <w:rFonts w:ascii="Times New Roman" w:hAnsi="Times New Roman" w:cs="Times New Roman"/>
          <w:sz w:val="24"/>
          <w:szCs w:val="24"/>
        </w:rPr>
        <w:t xml:space="preserve"> » (la </w:t>
      </w:r>
      <w:r w:rsidRPr="00C20656">
        <w:rPr>
          <w:rFonts w:ascii="Times New Roman" w:hAnsi="Times New Roman" w:cs="Times New Roman"/>
          <w:sz w:val="24"/>
          <w:szCs w:val="24"/>
        </w:rPr>
        <w:lastRenderedPageBreak/>
        <w:t xml:space="preserve">volonté naturelle) et « der   </w:t>
      </w:r>
      <w:proofErr w:type="spellStart"/>
      <w:r w:rsidRPr="00C20656">
        <w:rPr>
          <w:rFonts w:ascii="Times New Roman" w:hAnsi="Times New Roman" w:cs="Times New Roman"/>
          <w:sz w:val="24"/>
          <w:szCs w:val="24"/>
        </w:rPr>
        <w:t>Kürwille</w:t>
      </w:r>
      <w:proofErr w:type="spellEnd"/>
      <w:r w:rsidRPr="00C20656">
        <w:rPr>
          <w:rFonts w:ascii="Times New Roman" w:hAnsi="Times New Roman" w:cs="Times New Roman"/>
          <w:sz w:val="24"/>
          <w:szCs w:val="24"/>
        </w:rPr>
        <w:t> » (la volonté factice). C’est Tönnies lui-même qui traduit ses propres concepts en français. La « volonté naturelle » est de l’ordre du « spontané », de l’ « intuitif »  et de l’ « organique » et relève plus de la communauté (</w:t>
      </w:r>
      <w:proofErr w:type="spellStart"/>
      <w:r w:rsidRPr="00C20656">
        <w:rPr>
          <w:rFonts w:ascii="Times New Roman" w:hAnsi="Times New Roman" w:cs="Times New Roman"/>
          <w:i/>
          <w:sz w:val="24"/>
          <w:szCs w:val="24"/>
        </w:rPr>
        <w:t>Gemeinschaft</w:t>
      </w:r>
      <w:proofErr w:type="spellEnd"/>
      <w:r w:rsidRPr="00C20656">
        <w:rPr>
          <w:rFonts w:ascii="Times New Roman" w:hAnsi="Times New Roman" w:cs="Times New Roman"/>
          <w:sz w:val="24"/>
          <w:szCs w:val="24"/>
        </w:rPr>
        <w:t>) qui est:</w:t>
      </w:r>
    </w:p>
    <w:p w:rsidR="0052271B" w:rsidRPr="00C20656" w:rsidRDefault="0052271B" w:rsidP="00C20656">
      <w:pPr>
        <w:autoSpaceDE w:val="0"/>
        <w:autoSpaceDN w:val="0"/>
        <w:adjustRightInd w:val="0"/>
        <w:spacing w:after="0" w:line="240" w:lineRule="auto"/>
        <w:ind w:left="1134" w:right="1134"/>
        <w:jc w:val="both"/>
        <w:rPr>
          <w:rFonts w:ascii="Times New Roman" w:hAnsi="Times New Roman" w:cs="Times New Roman"/>
          <w:sz w:val="24"/>
          <w:szCs w:val="24"/>
        </w:rPr>
      </w:pPr>
      <w:r w:rsidRPr="00C20656">
        <w:rPr>
          <w:rFonts w:ascii="Times New Roman" w:hAnsi="Times New Roman" w:cs="Times New Roman"/>
          <w:sz w:val="24"/>
          <w:szCs w:val="24"/>
        </w:rPr>
        <w:t xml:space="preserve"> </w:t>
      </w:r>
      <w:proofErr w:type="gramStart"/>
      <w:r w:rsidRPr="00C20656">
        <w:rPr>
          <w:rFonts w:ascii="Times New Roman" w:hAnsi="Times New Roman" w:cs="Times New Roman"/>
          <w:sz w:val="24"/>
          <w:szCs w:val="24"/>
        </w:rPr>
        <w:t>celle</w:t>
      </w:r>
      <w:proofErr w:type="gramEnd"/>
      <w:r w:rsidRPr="00C20656">
        <w:rPr>
          <w:rFonts w:ascii="Times New Roman" w:hAnsi="Times New Roman" w:cs="Times New Roman"/>
          <w:sz w:val="24"/>
          <w:szCs w:val="24"/>
        </w:rPr>
        <w:t xml:space="preserve"> de la famille, du village, de la communauté religieuse –, dans laquelle les relations sociales sont marquées par la proximité, l’affectivité ainsi que par la fusion des activités et des esprits. </w:t>
      </w:r>
      <w:r w:rsidR="00694E43" w:rsidRPr="00C20656">
        <w:rPr>
          <w:rStyle w:val="Appelnotedebasdep"/>
          <w:rFonts w:ascii="Times New Roman" w:hAnsi="Times New Roman" w:cs="Times New Roman"/>
          <w:sz w:val="24"/>
          <w:szCs w:val="24"/>
        </w:rPr>
        <w:footnoteReference w:id="18"/>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La « volonté factice » relève de l’arbitraire et de l’artificiel animés par des desseins  calculateurs sur la finalité de l’action à mener. La « volonté factice » se meut dans la société (</w:t>
      </w:r>
      <w:r w:rsidRPr="00C20656">
        <w:rPr>
          <w:rFonts w:ascii="Times New Roman" w:hAnsi="Times New Roman" w:cs="Times New Roman"/>
          <w:i/>
          <w:sz w:val="24"/>
          <w:szCs w:val="24"/>
        </w:rPr>
        <w:t>Gesellschaft</w:t>
      </w:r>
      <w:r w:rsidRPr="00C20656">
        <w:rPr>
          <w:rFonts w:ascii="Times New Roman" w:hAnsi="Times New Roman" w:cs="Times New Roman"/>
          <w:sz w:val="24"/>
          <w:szCs w:val="24"/>
        </w:rPr>
        <w:t>) qui se caractérise par :</w:t>
      </w:r>
    </w:p>
    <w:p w:rsidR="0052271B" w:rsidRPr="00C20656" w:rsidRDefault="0052271B" w:rsidP="00C20656">
      <w:pPr>
        <w:autoSpaceDE w:val="0"/>
        <w:autoSpaceDN w:val="0"/>
        <w:adjustRightInd w:val="0"/>
        <w:spacing w:after="0" w:line="240" w:lineRule="auto"/>
        <w:ind w:left="1134" w:right="1134"/>
        <w:jc w:val="both"/>
        <w:rPr>
          <w:rFonts w:ascii="Times New Roman" w:hAnsi="Times New Roman" w:cs="Times New Roman"/>
          <w:sz w:val="24"/>
          <w:szCs w:val="24"/>
        </w:rPr>
      </w:pPr>
      <w:proofErr w:type="gramStart"/>
      <w:r w:rsidRPr="00C20656">
        <w:rPr>
          <w:rFonts w:ascii="Times New Roman" w:hAnsi="Times New Roman" w:cs="Times New Roman"/>
          <w:sz w:val="24"/>
          <w:szCs w:val="24"/>
        </w:rPr>
        <w:t>les</w:t>
      </w:r>
      <w:proofErr w:type="gramEnd"/>
      <w:r w:rsidRPr="00C20656">
        <w:rPr>
          <w:rFonts w:ascii="Times New Roman" w:hAnsi="Times New Roman" w:cs="Times New Roman"/>
          <w:sz w:val="24"/>
          <w:szCs w:val="24"/>
        </w:rPr>
        <w:t xml:space="preserve"> organismes complexes que sont les villes, les entreprises et les administrations. Les relations sociales sont ici marquées par les échanges froids et intéressés, les normes de droit et les statuts dif</w:t>
      </w:r>
      <w:r w:rsidR="00694E43" w:rsidRPr="00C20656">
        <w:rPr>
          <w:rFonts w:ascii="Times New Roman" w:hAnsi="Times New Roman" w:cs="Times New Roman"/>
          <w:sz w:val="24"/>
          <w:szCs w:val="24"/>
        </w:rPr>
        <w:t>f</w:t>
      </w:r>
      <w:r w:rsidRPr="00C20656">
        <w:rPr>
          <w:rFonts w:ascii="Times New Roman" w:hAnsi="Times New Roman" w:cs="Times New Roman"/>
          <w:sz w:val="24"/>
          <w:szCs w:val="24"/>
        </w:rPr>
        <w:t>érenciés</w:t>
      </w:r>
      <w:r w:rsidR="00694E43" w:rsidRPr="00C20656">
        <w:rPr>
          <w:rStyle w:val="Appelnotedebasdep"/>
          <w:rFonts w:ascii="Times New Roman" w:hAnsi="Times New Roman" w:cs="Times New Roman"/>
          <w:sz w:val="24"/>
          <w:szCs w:val="24"/>
        </w:rPr>
        <w:footnoteReference w:id="19"/>
      </w:r>
      <w:r w:rsidRPr="00C20656">
        <w:rPr>
          <w:rFonts w:ascii="Times New Roman" w:hAnsi="Times New Roman" w:cs="Times New Roman"/>
          <w:sz w:val="24"/>
          <w:szCs w:val="24"/>
        </w:rPr>
        <w:t xml:space="preserve">  </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 xml:space="preserve"> La </w:t>
      </w:r>
      <w:r w:rsidR="00694E43" w:rsidRPr="00C20656">
        <w:rPr>
          <w:rFonts w:ascii="Times New Roman" w:hAnsi="Times New Roman" w:cs="Times New Roman"/>
          <w:sz w:val="24"/>
          <w:szCs w:val="24"/>
        </w:rPr>
        <w:t>mise en place du Land</w:t>
      </w:r>
      <w:r w:rsidR="00184463" w:rsidRPr="00C20656">
        <w:rPr>
          <w:rFonts w:ascii="Times New Roman" w:hAnsi="Times New Roman" w:cs="Times New Roman"/>
          <w:sz w:val="24"/>
          <w:szCs w:val="24"/>
        </w:rPr>
        <w:t xml:space="preserve"> </w:t>
      </w:r>
      <w:proofErr w:type="spellStart"/>
      <w:r w:rsidR="00316422" w:rsidRPr="00C20656">
        <w:rPr>
          <w:rFonts w:ascii="Times New Roman" w:hAnsi="Times New Roman" w:cs="Times New Roman"/>
          <w:sz w:val="24"/>
          <w:szCs w:val="24"/>
        </w:rPr>
        <w:t>Pooli</w:t>
      </w:r>
      <w:r w:rsidR="00694E43" w:rsidRPr="00C20656">
        <w:rPr>
          <w:rFonts w:ascii="Times New Roman" w:hAnsi="Times New Roman" w:cs="Times New Roman"/>
          <w:sz w:val="24"/>
          <w:szCs w:val="24"/>
        </w:rPr>
        <w:t>ng</w:t>
      </w:r>
      <w:proofErr w:type="spellEnd"/>
      <w:r w:rsidR="00694E43" w:rsidRPr="00C20656">
        <w:rPr>
          <w:rFonts w:ascii="Times New Roman" w:hAnsi="Times New Roman" w:cs="Times New Roman"/>
          <w:sz w:val="24"/>
          <w:szCs w:val="24"/>
        </w:rPr>
        <w:t xml:space="preserve"> et du Land </w:t>
      </w:r>
      <w:proofErr w:type="spellStart"/>
      <w:r w:rsidR="00694E43" w:rsidRPr="00C20656">
        <w:rPr>
          <w:rFonts w:ascii="Times New Roman" w:hAnsi="Times New Roman" w:cs="Times New Roman"/>
          <w:sz w:val="24"/>
          <w:szCs w:val="24"/>
        </w:rPr>
        <w:t>Readjustment</w:t>
      </w:r>
      <w:proofErr w:type="spellEnd"/>
      <w:r w:rsidR="00694E43"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 passe par le maillage itéra</w:t>
      </w:r>
      <w:r w:rsidR="00694E43" w:rsidRPr="00C20656">
        <w:rPr>
          <w:rFonts w:ascii="Times New Roman" w:hAnsi="Times New Roman" w:cs="Times New Roman"/>
          <w:sz w:val="24"/>
          <w:szCs w:val="24"/>
        </w:rPr>
        <w:t xml:space="preserve">tif que la communauté des détenteurs </w:t>
      </w:r>
      <w:proofErr w:type="gramStart"/>
      <w:r w:rsidR="00694E43" w:rsidRPr="00C20656">
        <w:rPr>
          <w:rFonts w:ascii="Times New Roman" w:hAnsi="Times New Roman" w:cs="Times New Roman"/>
          <w:sz w:val="24"/>
          <w:szCs w:val="24"/>
        </w:rPr>
        <w:t xml:space="preserve">coutumiers </w:t>
      </w:r>
      <w:r w:rsidR="00316422" w:rsidRPr="00C20656">
        <w:rPr>
          <w:rFonts w:ascii="Times New Roman" w:hAnsi="Times New Roman" w:cs="Times New Roman"/>
          <w:sz w:val="24"/>
          <w:szCs w:val="24"/>
        </w:rPr>
        <w:t>,</w:t>
      </w:r>
      <w:proofErr w:type="gramEnd"/>
      <w:r w:rsidRPr="00C20656">
        <w:rPr>
          <w:rFonts w:ascii="Times New Roman" w:hAnsi="Times New Roman" w:cs="Times New Roman"/>
          <w:sz w:val="24"/>
          <w:szCs w:val="24"/>
        </w:rPr>
        <w:t xml:space="preserve"> la communauté de</w:t>
      </w:r>
      <w:r w:rsidR="00694E43" w:rsidRPr="00C20656">
        <w:rPr>
          <w:rFonts w:ascii="Times New Roman" w:hAnsi="Times New Roman" w:cs="Times New Roman"/>
          <w:sz w:val="24"/>
          <w:szCs w:val="24"/>
        </w:rPr>
        <w:t>s propriétaires fonciers</w:t>
      </w:r>
      <w:r w:rsidR="00316422" w:rsidRPr="00C20656">
        <w:rPr>
          <w:rFonts w:ascii="Times New Roman" w:hAnsi="Times New Roman" w:cs="Times New Roman"/>
          <w:sz w:val="24"/>
          <w:szCs w:val="24"/>
        </w:rPr>
        <w:t xml:space="preserve"> et la municipalité </w:t>
      </w:r>
      <w:r w:rsidR="00694E43" w:rsidRPr="00C20656">
        <w:rPr>
          <w:rFonts w:ascii="Times New Roman" w:hAnsi="Times New Roman" w:cs="Times New Roman"/>
          <w:sz w:val="24"/>
          <w:szCs w:val="24"/>
        </w:rPr>
        <w:t xml:space="preserve"> </w:t>
      </w:r>
      <w:r w:rsidRPr="00C20656">
        <w:rPr>
          <w:rFonts w:ascii="Times New Roman" w:hAnsi="Times New Roman" w:cs="Times New Roman"/>
          <w:sz w:val="24"/>
          <w:szCs w:val="24"/>
        </w:rPr>
        <w:t xml:space="preserve">doivent déployer en fonction des spécificités situationnelles de </w:t>
      </w:r>
      <w:proofErr w:type="spellStart"/>
      <w:r w:rsidRPr="00C20656">
        <w:rPr>
          <w:rFonts w:ascii="Times New Roman" w:hAnsi="Times New Roman" w:cs="Times New Roman"/>
          <w:sz w:val="24"/>
          <w:szCs w:val="24"/>
        </w:rPr>
        <w:t>chaqu’espace</w:t>
      </w:r>
      <w:proofErr w:type="spellEnd"/>
      <w:r w:rsidRPr="00C20656">
        <w:rPr>
          <w:rFonts w:ascii="Times New Roman" w:hAnsi="Times New Roman" w:cs="Times New Roman"/>
          <w:sz w:val="24"/>
          <w:szCs w:val="24"/>
        </w:rPr>
        <w:t>.</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Le principe de l’</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w:t>
      </w:r>
      <w:r w:rsidR="00BF78EF" w:rsidRPr="00C20656">
        <w:rPr>
          <w:rFonts w:ascii="Times New Roman" w:hAnsi="Times New Roman" w:cs="Times New Roman"/>
          <w:sz w:val="24"/>
          <w:szCs w:val="24"/>
        </w:rPr>
        <w:t>juridique, nourri</w:t>
      </w:r>
      <w:r w:rsidRPr="00C20656">
        <w:rPr>
          <w:rFonts w:ascii="Times New Roman" w:hAnsi="Times New Roman" w:cs="Times New Roman"/>
          <w:sz w:val="24"/>
          <w:szCs w:val="24"/>
        </w:rPr>
        <w:t xml:space="preserve"> de l’itération </w:t>
      </w:r>
      <w:proofErr w:type="spellStart"/>
      <w:r w:rsidRPr="00C20656">
        <w:rPr>
          <w:rFonts w:ascii="Times New Roman" w:hAnsi="Times New Roman" w:cs="Times New Roman"/>
          <w:i/>
          <w:sz w:val="24"/>
          <w:szCs w:val="24"/>
        </w:rPr>
        <w:t>Wesenwille</w:t>
      </w:r>
      <w:proofErr w:type="spellEnd"/>
      <w:r w:rsidRPr="00C20656">
        <w:rPr>
          <w:rFonts w:ascii="Times New Roman" w:hAnsi="Times New Roman" w:cs="Times New Roman"/>
          <w:sz w:val="24"/>
          <w:szCs w:val="24"/>
        </w:rPr>
        <w:t xml:space="preserve"> et </w:t>
      </w:r>
      <w:proofErr w:type="spellStart"/>
      <w:r w:rsidRPr="00C20656">
        <w:rPr>
          <w:rFonts w:ascii="Times New Roman" w:hAnsi="Times New Roman" w:cs="Times New Roman"/>
          <w:i/>
          <w:sz w:val="24"/>
          <w:szCs w:val="24"/>
        </w:rPr>
        <w:t>Kûrwille</w:t>
      </w:r>
      <w:proofErr w:type="spellEnd"/>
      <w:r w:rsidR="00BF78EF" w:rsidRPr="00C20656">
        <w:rPr>
          <w:rFonts w:ascii="Times New Roman" w:hAnsi="Times New Roman" w:cs="Times New Roman"/>
          <w:sz w:val="24"/>
          <w:szCs w:val="24"/>
        </w:rPr>
        <w:t>,</w:t>
      </w:r>
      <w:r w:rsidRPr="00C20656">
        <w:rPr>
          <w:rFonts w:ascii="Times New Roman" w:hAnsi="Times New Roman" w:cs="Times New Roman"/>
          <w:sz w:val="24"/>
          <w:szCs w:val="24"/>
        </w:rPr>
        <w:t xml:space="preserve">  se fonde sur</w:t>
      </w:r>
    </w:p>
    <w:p w:rsidR="0052271B" w:rsidRPr="00C20656" w:rsidRDefault="0052271B" w:rsidP="00C20656">
      <w:pPr>
        <w:tabs>
          <w:tab w:val="left" w:pos="3360"/>
        </w:tabs>
        <w:spacing w:after="0" w:line="240" w:lineRule="auto"/>
        <w:ind w:left="1134" w:right="1134"/>
        <w:jc w:val="both"/>
        <w:rPr>
          <w:rFonts w:ascii="Times New Roman" w:hAnsi="Times New Roman" w:cs="Times New Roman"/>
          <w:sz w:val="24"/>
          <w:szCs w:val="24"/>
        </w:rPr>
      </w:pPr>
      <w:r w:rsidRPr="00C20656">
        <w:rPr>
          <w:rFonts w:ascii="Times New Roman" w:hAnsi="Times New Roman" w:cs="Times New Roman"/>
          <w:sz w:val="24"/>
          <w:szCs w:val="24"/>
        </w:rPr>
        <w:t>Le primat de l’interaction (avec les autres et avec l’environnement)  et en fait une matrice d’individuation (des objets</w:t>
      </w:r>
      <w:proofErr w:type="gramStart"/>
      <w:r w:rsidRPr="00C20656">
        <w:rPr>
          <w:rFonts w:ascii="Times New Roman" w:hAnsi="Times New Roman" w:cs="Times New Roman"/>
          <w:sz w:val="24"/>
          <w:szCs w:val="24"/>
        </w:rPr>
        <w:t>, ,</w:t>
      </w:r>
      <w:proofErr w:type="gramEnd"/>
      <w:r w:rsidRPr="00C20656">
        <w:rPr>
          <w:rFonts w:ascii="Times New Roman" w:hAnsi="Times New Roman" w:cs="Times New Roman"/>
          <w:sz w:val="24"/>
          <w:szCs w:val="24"/>
        </w:rPr>
        <w:t xml:space="preserve"> des personnes, et des évènements) de détermination des conduites et de formations d’identités </w:t>
      </w:r>
    </w:p>
    <w:p w:rsidR="0052271B" w:rsidRPr="00C20656" w:rsidRDefault="0052271B" w:rsidP="00C20656">
      <w:pPr>
        <w:tabs>
          <w:tab w:val="left" w:pos="336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Autrement dit</w:t>
      </w:r>
      <w:r w:rsidR="00316422" w:rsidRPr="00C20656">
        <w:rPr>
          <w:rFonts w:ascii="Times New Roman" w:hAnsi="Times New Roman" w:cs="Times New Roman"/>
          <w:sz w:val="24"/>
          <w:szCs w:val="24"/>
        </w:rPr>
        <w:t>,</w:t>
      </w:r>
      <w:r w:rsidRPr="00C20656">
        <w:rPr>
          <w:rFonts w:ascii="Times New Roman" w:hAnsi="Times New Roman" w:cs="Times New Roman"/>
          <w:sz w:val="24"/>
          <w:szCs w:val="24"/>
        </w:rPr>
        <w:t xml:space="preserve"> c’est de l’interaction </w:t>
      </w:r>
      <w:proofErr w:type="spellStart"/>
      <w:r w:rsidRPr="00C20656">
        <w:rPr>
          <w:rFonts w:ascii="Times New Roman" w:hAnsi="Times New Roman" w:cs="Times New Roman"/>
          <w:i/>
          <w:sz w:val="24"/>
          <w:szCs w:val="24"/>
        </w:rPr>
        <w:t>Wesenwille</w:t>
      </w:r>
      <w:proofErr w:type="spellEnd"/>
      <w:r w:rsidRPr="00C20656">
        <w:rPr>
          <w:rFonts w:ascii="Times New Roman" w:hAnsi="Times New Roman" w:cs="Times New Roman"/>
          <w:i/>
          <w:sz w:val="24"/>
          <w:szCs w:val="24"/>
        </w:rPr>
        <w:t xml:space="preserve">/ </w:t>
      </w:r>
      <w:proofErr w:type="spellStart"/>
      <w:r w:rsidRPr="00C20656">
        <w:rPr>
          <w:rFonts w:ascii="Times New Roman" w:hAnsi="Times New Roman" w:cs="Times New Roman"/>
          <w:i/>
          <w:sz w:val="24"/>
          <w:szCs w:val="24"/>
        </w:rPr>
        <w:t>Kürwille</w:t>
      </w:r>
      <w:proofErr w:type="spellEnd"/>
      <w:r w:rsidRPr="00C20656">
        <w:rPr>
          <w:rFonts w:ascii="Times New Roman" w:hAnsi="Times New Roman" w:cs="Times New Roman"/>
          <w:sz w:val="24"/>
          <w:szCs w:val="24"/>
        </w:rPr>
        <w:t xml:space="preserve"> </w:t>
      </w:r>
      <w:r w:rsidR="00BF78EF" w:rsidRPr="00C20656">
        <w:rPr>
          <w:rFonts w:ascii="Times New Roman" w:hAnsi="Times New Roman" w:cs="Times New Roman"/>
          <w:sz w:val="24"/>
          <w:szCs w:val="24"/>
        </w:rPr>
        <w:t>que jailliront</w:t>
      </w:r>
      <w:r w:rsidRPr="00C20656">
        <w:rPr>
          <w:rFonts w:ascii="Times New Roman" w:hAnsi="Times New Roman" w:cs="Times New Roman"/>
          <w:sz w:val="24"/>
          <w:szCs w:val="24"/>
        </w:rPr>
        <w:t xml:space="preserve"> la </w:t>
      </w:r>
      <w:r w:rsidR="00BF78EF" w:rsidRPr="00C20656">
        <w:rPr>
          <w:rFonts w:ascii="Times New Roman" w:hAnsi="Times New Roman" w:cs="Times New Roman"/>
          <w:sz w:val="24"/>
          <w:szCs w:val="24"/>
        </w:rPr>
        <w:t>créativité</w:t>
      </w:r>
      <w:r w:rsidRPr="00C20656">
        <w:rPr>
          <w:rFonts w:ascii="Times New Roman" w:hAnsi="Times New Roman" w:cs="Times New Roman"/>
          <w:sz w:val="24"/>
          <w:szCs w:val="24"/>
        </w:rPr>
        <w:t xml:space="preserve"> et l’inventivité juridiques requises  pour faciliter l</w:t>
      </w:r>
      <w:r w:rsidR="0037685E" w:rsidRPr="00C20656">
        <w:rPr>
          <w:rFonts w:ascii="Times New Roman" w:hAnsi="Times New Roman" w:cs="Times New Roman"/>
          <w:sz w:val="24"/>
          <w:szCs w:val="24"/>
        </w:rPr>
        <w:t xml:space="preserve">’effectivité du Land </w:t>
      </w:r>
      <w:proofErr w:type="spellStart"/>
      <w:r w:rsidR="0037685E" w:rsidRPr="00C20656">
        <w:rPr>
          <w:rFonts w:ascii="Times New Roman" w:hAnsi="Times New Roman" w:cs="Times New Roman"/>
          <w:sz w:val="24"/>
          <w:szCs w:val="24"/>
        </w:rPr>
        <w:t>Pooling</w:t>
      </w:r>
      <w:proofErr w:type="spellEnd"/>
      <w:r w:rsidR="0037685E" w:rsidRPr="00C20656">
        <w:rPr>
          <w:rFonts w:ascii="Times New Roman" w:hAnsi="Times New Roman" w:cs="Times New Roman"/>
          <w:sz w:val="24"/>
          <w:szCs w:val="24"/>
        </w:rPr>
        <w:t xml:space="preserve"> et du Land </w:t>
      </w:r>
      <w:proofErr w:type="spellStart"/>
      <w:r w:rsidR="0037685E" w:rsidRPr="00C20656">
        <w:rPr>
          <w:rFonts w:ascii="Times New Roman" w:hAnsi="Times New Roman" w:cs="Times New Roman"/>
          <w:sz w:val="24"/>
          <w:szCs w:val="24"/>
        </w:rPr>
        <w:t>readjustment</w:t>
      </w:r>
      <w:proofErr w:type="spellEnd"/>
      <w:r w:rsidRPr="00C20656">
        <w:rPr>
          <w:rFonts w:ascii="Times New Roman" w:hAnsi="Times New Roman" w:cs="Times New Roman"/>
          <w:sz w:val="24"/>
          <w:szCs w:val="24"/>
        </w:rPr>
        <w:t xml:space="preserve">. Il y découlera une normativité </w:t>
      </w:r>
      <w:r w:rsidRPr="00C20656">
        <w:rPr>
          <w:rFonts w:ascii="Times New Roman" w:hAnsi="Times New Roman" w:cs="Times New Roman"/>
          <w:i/>
          <w:sz w:val="24"/>
          <w:szCs w:val="24"/>
        </w:rPr>
        <w:t xml:space="preserve">de jure </w:t>
      </w:r>
      <w:r w:rsidRPr="00C20656">
        <w:rPr>
          <w:rFonts w:ascii="Times New Roman" w:hAnsi="Times New Roman" w:cs="Times New Roman"/>
          <w:sz w:val="24"/>
          <w:szCs w:val="24"/>
        </w:rPr>
        <w:t xml:space="preserve"> et  une normativité </w:t>
      </w:r>
      <w:r w:rsidRPr="00C20656">
        <w:rPr>
          <w:rFonts w:ascii="Times New Roman" w:hAnsi="Times New Roman" w:cs="Times New Roman"/>
          <w:i/>
          <w:sz w:val="24"/>
          <w:szCs w:val="24"/>
        </w:rPr>
        <w:t>in praxis</w:t>
      </w:r>
      <w:r w:rsidRPr="00C20656">
        <w:rPr>
          <w:rFonts w:ascii="Times New Roman" w:hAnsi="Times New Roman" w:cs="Times New Roman"/>
          <w:sz w:val="24"/>
          <w:szCs w:val="24"/>
        </w:rPr>
        <w:t xml:space="preserve"> qui s’incarne dans l’expression  de  deux volontés  en fonction de la situation foncière de </w:t>
      </w:r>
      <w:proofErr w:type="spellStart"/>
      <w:r w:rsidRPr="00C20656">
        <w:rPr>
          <w:rFonts w:ascii="Times New Roman" w:hAnsi="Times New Roman" w:cs="Times New Roman"/>
          <w:sz w:val="24"/>
          <w:szCs w:val="24"/>
        </w:rPr>
        <w:t>chaqu’espace</w:t>
      </w:r>
      <w:proofErr w:type="spellEnd"/>
      <w:r w:rsidRPr="00C20656">
        <w:rPr>
          <w:rFonts w:ascii="Times New Roman" w:hAnsi="Times New Roman" w:cs="Times New Roman"/>
          <w:sz w:val="24"/>
          <w:szCs w:val="24"/>
        </w:rPr>
        <w:t xml:space="preserve">. </w:t>
      </w:r>
    </w:p>
    <w:p w:rsidR="0052271B" w:rsidRPr="00C20656" w:rsidRDefault="0052271B" w:rsidP="00C20656">
      <w:pPr>
        <w:tabs>
          <w:tab w:val="left" w:pos="3270"/>
        </w:tabs>
        <w:spacing w:after="0" w:line="240" w:lineRule="auto"/>
        <w:jc w:val="both"/>
        <w:rPr>
          <w:rFonts w:ascii="Times New Roman" w:hAnsi="Times New Roman" w:cs="Times New Roman"/>
          <w:sz w:val="24"/>
          <w:szCs w:val="24"/>
        </w:rPr>
      </w:pPr>
      <w:r w:rsidRPr="00C20656">
        <w:rPr>
          <w:rFonts w:ascii="Times New Roman" w:hAnsi="Times New Roman" w:cs="Times New Roman"/>
          <w:sz w:val="24"/>
          <w:szCs w:val="24"/>
        </w:rPr>
        <w:t>Le principe de l’</w:t>
      </w:r>
      <w:proofErr w:type="spellStart"/>
      <w:r w:rsidRPr="00C20656">
        <w:rPr>
          <w:rFonts w:ascii="Times New Roman" w:hAnsi="Times New Roman" w:cs="Times New Roman"/>
          <w:sz w:val="24"/>
          <w:szCs w:val="24"/>
        </w:rPr>
        <w:t>abaliété</w:t>
      </w:r>
      <w:proofErr w:type="spellEnd"/>
      <w:r w:rsidRPr="00C20656">
        <w:rPr>
          <w:rFonts w:ascii="Times New Roman" w:hAnsi="Times New Roman" w:cs="Times New Roman"/>
          <w:sz w:val="24"/>
          <w:szCs w:val="24"/>
        </w:rPr>
        <w:t xml:space="preserve"> </w:t>
      </w:r>
      <w:proofErr w:type="gramStart"/>
      <w:r w:rsidRPr="00C20656">
        <w:rPr>
          <w:rFonts w:ascii="Times New Roman" w:hAnsi="Times New Roman" w:cs="Times New Roman"/>
          <w:sz w:val="24"/>
          <w:szCs w:val="24"/>
        </w:rPr>
        <w:t>juridique subsume</w:t>
      </w:r>
      <w:proofErr w:type="gramEnd"/>
      <w:r w:rsidRPr="00C20656">
        <w:rPr>
          <w:rFonts w:ascii="Times New Roman" w:hAnsi="Times New Roman" w:cs="Times New Roman"/>
          <w:sz w:val="24"/>
          <w:szCs w:val="24"/>
        </w:rPr>
        <w:t xml:space="preserve"> donc que le droit soit en transsubstantiation.  Le droit en  transsubstantiation renvoie ici au changement de la substance juridique que confère la situation foncière d</w:t>
      </w:r>
      <w:r w:rsidR="0037685E" w:rsidRPr="00C20656">
        <w:rPr>
          <w:rFonts w:ascii="Times New Roman" w:hAnsi="Times New Roman" w:cs="Times New Roman"/>
          <w:sz w:val="24"/>
          <w:szCs w:val="24"/>
        </w:rPr>
        <w:t xml:space="preserve">e </w:t>
      </w:r>
      <w:proofErr w:type="spellStart"/>
      <w:r w:rsidR="0037685E" w:rsidRPr="00C20656">
        <w:rPr>
          <w:rFonts w:ascii="Times New Roman" w:hAnsi="Times New Roman" w:cs="Times New Roman"/>
          <w:sz w:val="24"/>
          <w:szCs w:val="24"/>
        </w:rPr>
        <w:t>chaqu’espace</w:t>
      </w:r>
      <w:proofErr w:type="spellEnd"/>
      <w:r w:rsidR="0037685E" w:rsidRPr="00C20656">
        <w:rPr>
          <w:rFonts w:ascii="Times New Roman" w:hAnsi="Times New Roman" w:cs="Times New Roman"/>
          <w:sz w:val="24"/>
          <w:szCs w:val="24"/>
        </w:rPr>
        <w:t xml:space="preserve">  au sein du LR et du LP</w:t>
      </w:r>
      <w:r w:rsidRPr="00C20656">
        <w:rPr>
          <w:rFonts w:ascii="Times New Roman" w:hAnsi="Times New Roman" w:cs="Times New Roman"/>
          <w:sz w:val="24"/>
          <w:szCs w:val="24"/>
        </w:rPr>
        <w:t>. Avec une telle logique juridique</w:t>
      </w:r>
      <w:r w:rsidR="0037685E" w:rsidRPr="00C20656">
        <w:rPr>
          <w:rFonts w:ascii="Times New Roman" w:hAnsi="Times New Roman" w:cs="Times New Roman"/>
          <w:sz w:val="24"/>
          <w:szCs w:val="24"/>
        </w:rPr>
        <w:t>,</w:t>
      </w:r>
      <w:r w:rsidRPr="00C20656">
        <w:rPr>
          <w:rFonts w:ascii="Times New Roman" w:hAnsi="Times New Roman" w:cs="Times New Roman"/>
          <w:sz w:val="24"/>
          <w:szCs w:val="24"/>
        </w:rPr>
        <w:t xml:space="preserve"> le droit foncier ne sera pas vidé de la dimension sécurisante autour de l’espace qu’elle octroie, bien plus cette prérogative est appelée à être sanctuarisée ; mais la partie détentrice  d’un titre de propriété doit plutôt changer de logiques et de pratiques  dans l’exercice de son droit de pro</w:t>
      </w:r>
      <w:r w:rsidR="00BF78EF" w:rsidRPr="00C20656">
        <w:rPr>
          <w:rFonts w:ascii="Times New Roman" w:hAnsi="Times New Roman" w:cs="Times New Roman"/>
          <w:sz w:val="24"/>
          <w:szCs w:val="24"/>
        </w:rPr>
        <w:t xml:space="preserve">priété. C’est par conséquent à </w:t>
      </w:r>
      <w:r w:rsidRPr="00C20656">
        <w:rPr>
          <w:rFonts w:ascii="Times New Roman" w:hAnsi="Times New Roman" w:cs="Times New Roman"/>
          <w:sz w:val="24"/>
          <w:szCs w:val="24"/>
        </w:rPr>
        <w:t>une véritable révolution</w:t>
      </w:r>
      <w:r w:rsidR="0037685E" w:rsidRPr="00C20656">
        <w:rPr>
          <w:rFonts w:ascii="Times New Roman" w:hAnsi="Times New Roman" w:cs="Times New Roman"/>
          <w:sz w:val="24"/>
          <w:szCs w:val="24"/>
        </w:rPr>
        <w:t xml:space="preserve"> copernicienne juridique que le LR et le LP </w:t>
      </w:r>
      <w:r w:rsidRPr="00C20656">
        <w:rPr>
          <w:rFonts w:ascii="Times New Roman" w:hAnsi="Times New Roman" w:cs="Times New Roman"/>
          <w:sz w:val="24"/>
          <w:szCs w:val="24"/>
        </w:rPr>
        <w:t>nous invite</w:t>
      </w:r>
      <w:r w:rsidR="0037685E" w:rsidRPr="00C20656">
        <w:rPr>
          <w:rFonts w:ascii="Times New Roman" w:hAnsi="Times New Roman" w:cs="Times New Roman"/>
          <w:sz w:val="24"/>
          <w:szCs w:val="24"/>
        </w:rPr>
        <w:t>nt</w:t>
      </w:r>
      <w:r w:rsidRPr="00C20656">
        <w:rPr>
          <w:rFonts w:ascii="Times New Roman" w:hAnsi="Times New Roman" w:cs="Times New Roman"/>
          <w:sz w:val="24"/>
          <w:szCs w:val="24"/>
        </w:rPr>
        <w:t>. Le droit en transsubstantiation  sera décliné ici en fonction de la situation juridique des espaces</w:t>
      </w:r>
      <w:r w:rsidR="0037685E" w:rsidRPr="00C20656">
        <w:rPr>
          <w:rFonts w:ascii="Times New Roman" w:hAnsi="Times New Roman" w:cs="Times New Roman"/>
          <w:sz w:val="24"/>
          <w:szCs w:val="24"/>
        </w:rPr>
        <w:t>.</w:t>
      </w:r>
      <w:r w:rsidRPr="00C20656">
        <w:rPr>
          <w:rFonts w:ascii="Times New Roman" w:hAnsi="Times New Roman" w:cs="Times New Roman"/>
          <w:sz w:val="24"/>
          <w:szCs w:val="24"/>
        </w:rPr>
        <w:t xml:space="preserve"> Nous l’appliquerons donc aux espaces déjà immatriculés, aux espaces immatriculés par les communautés </w:t>
      </w:r>
      <w:r w:rsidR="0037685E" w:rsidRPr="00C20656">
        <w:rPr>
          <w:rFonts w:ascii="Times New Roman" w:hAnsi="Times New Roman" w:cs="Times New Roman"/>
          <w:sz w:val="24"/>
          <w:szCs w:val="24"/>
        </w:rPr>
        <w:t>ancestrale</w:t>
      </w:r>
      <w:r w:rsidRPr="00C20656">
        <w:rPr>
          <w:rFonts w:ascii="Times New Roman" w:hAnsi="Times New Roman" w:cs="Times New Roman"/>
          <w:sz w:val="24"/>
          <w:szCs w:val="24"/>
        </w:rPr>
        <w:t xml:space="preserve">s mais nécessitant une procédure de morcellement, aux espaces en concession provisoire et définitive et aux espaces en litige, et se trouvant dans une impasse. </w:t>
      </w: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Pr="00C20656" w:rsidRDefault="0052271B" w:rsidP="00C20656">
      <w:pPr>
        <w:tabs>
          <w:tab w:val="left" w:pos="435"/>
          <w:tab w:val="left" w:pos="1860"/>
        </w:tabs>
        <w:spacing w:after="0" w:line="240" w:lineRule="auto"/>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52271B" w:rsidRDefault="0052271B" w:rsidP="00301E1F">
      <w:pPr>
        <w:tabs>
          <w:tab w:val="left" w:pos="435"/>
          <w:tab w:val="left" w:pos="1860"/>
        </w:tabs>
        <w:spacing w:after="0"/>
        <w:jc w:val="both"/>
        <w:rPr>
          <w:rFonts w:ascii="Times New Roman" w:hAnsi="Times New Roman" w:cs="Times New Roman"/>
          <w:sz w:val="24"/>
          <w:szCs w:val="24"/>
        </w:rPr>
      </w:pPr>
    </w:p>
    <w:p w:rsidR="00144472" w:rsidRDefault="00144472" w:rsidP="00767F36">
      <w:pPr>
        <w:tabs>
          <w:tab w:val="left" w:pos="435"/>
          <w:tab w:val="left" w:pos="1860"/>
        </w:tabs>
        <w:spacing w:after="0"/>
        <w:rPr>
          <w:rFonts w:ascii="Times New Roman" w:hAnsi="Times New Roman" w:cs="Times New Roman"/>
          <w:sz w:val="24"/>
          <w:szCs w:val="24"/>
        </w:rPr>
      </w:pPr>
    </w:p>
    <w:p w:rsidR="00144472" w:rsidRDefault="00144472" w:rsidP="00767F36">
      <w:pPr>
        <w:tabs>
          <w:tab w:val="left" w:pos="435"/>
          <w:tab w:val="left" w:pos="1860"/>
        </w:tabs>
        <w:spacing w:after="0"/>
        <w:rPr>
          <w:rFonts w:ascii="Times New Roman" w:hAnsi="Times New Roman" w:cs="Times New Roman"/>
          <w:sz w:val="24"/>
          <w:szCs w:val="24"/>
        </w:rPr>
      </w:pPr>
    </w:p>
    <w:p w:rsidR="00144472" w:rsidRDefault="00144472" w:rsidP="00767F36">
      <w:pPr>
        <w:tabs>
          <w:tab w:val="left" w:pos="435"/>
          <w:tab w:val="left" w:pos="1860"/>
        </w:tabs>
        <w:spacing w:after="0"/>
        <w:rPr>
          <w:rFonts w:ascii="Times New Roman" w:hAnsi="Times New Roman" w:cs="Times New Roman"/>
          <w:sz w:val="24"/>
          <w:szCs w:val="24"/>
        </w:rPr>
      </w:pPr>
    </w:p>
    <w:p w:rsidR="002A1A50" w:rsidRPr="00361733" w:rsidRDefault="002A1A50" w:rsidP="00361733">
      <w:pPr>
        <w:rPr>
          <w:rFonts w:ascii="Times New Roman" w:hAnsi="Times New Roman" w:cs="Times New Roman"/>
          <w:sz w:val="24"/>
          <w:szCs w:val="24"/>
        </w:rPr>
      </w:pPr>
    </w:p>
    <w:sectPr w:rsidR="002A1A50" w:rsidRPr="0036173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70" w:rsidRDefault="00845370" w:rsidP="000924ED">
      <w:pPr>
        <w:spacing w:after="0" w:line="240" w:lineRule="auto"/>
      </w:pPr>
      <w:r>
        <w:separator/>
      </w:r>
    </w:p>
  </w:endnote>
  <w:endnote w:type="continuationSeparator" w:id="0">
    <w:p w:rsidR="00845370" w:rsidRDefault="00845370" w:rsidP="0009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70" w:rsidRDefault="00845370" w:rsidP="000924ED">
      <w:pPr>
        <w:spacing w:after="0" w:line="240" w:lineRule="auto"/>
      </w:pPr>
      <w:r>
        <w:separator/>
      </w:r>
    </w:p>
  </w:footnote>
  <w:footnote w:type="continuationSeparator" w:id="0">
    <w:p w:rsidR="00845370" w:rsidRDefault="00845370" w:rsidP="000924ED">
      <w:pPr>
        <w:spacing w:after="0" w:line="240" w:lineRule="auto"/>
      </w:pPr>
      <w:r>
        <w:continuationSeparator/>
      </w:r>
    </w:p>
  </w:footnote>
  <w:footnote w:id="1">
    <w:p w:rsidR="00A91728" w:rsidRDefault="00A91728">
      <w:pPr>
        <w:pStyle w:val="Notedebasdepage"/>
      </w:pPr>
      <w:r>
        <w:rPr>
          <w:rStyle w:val="Appelnotedebasdep"/>
        </w:rPr>
        <w:footnoteRef/>
      </w:r>
      <w:r>
        <w:t xml:space="preserve"> </w:t>
      </w:r>
      <w:r w:rsidRPr="00622833">
        <w:rPr>
          <w:rFonts w:ascii="Times New Roman" w:hAnsi="Times New Roman" w:cs="Times New Roman"/>
        </w:rPr>
        <w:t>MADJARIAN, G</w:t>
      </w:r>
      <w:r>
        <w:rPr>
          <w:rFonts w:ascii="Times New Roman" w:hAnsi="Times New Roman" w:cs="Times New Roman"/>
        </w:rPr>
        <w:t xml:space="preserve"> (1991) : </w:t>
      </w:r>
      <w:r w:rsidRPr="00F71435">
        <w:rPr>
          <w:rFonts w:ascii="Times New Roman" w:hAnsi="Times New Roman" w:cs="Times New Roman"/>
          <w:i/>
        </w:rPr>
        <w:t>L’invention de la propriété. De la terre sacrée à la société marchande</w:t>
      </w:r>
      <w:r w:rsidRPr="00F71435">
        <w:rPr>
          <w:rFonts w:ascii="Times New Roman" w:hAnsi="Times New Roman" w:cs="Times New Roman"/>
        </w:rPr>
        <w:t xml:space="preserve">, Paris, </w:t>
      </w:r>
      <w:proofErr w:type="spellStart"/>
      <w:r w:rsidRPr="00F71435">
        <w:rPr>
          <w:rFonts w:ascii="Times New Roman" w:hAnsi="Times New Roman" w:cs="Times New Roman"/>
        </w:rPr>
        <w:t>L’Harmattan</w:t>
      </w:r>
      <w:proofErr w:type="spellEnd"/>
      <w:r w:rsidRPr="00F71435">
        <w:rPr>
          <w:rFonts w:ascii="Times New Roman" w:hAnsi="Times New Roman" w:cs="Times New Roman"/>
        </w:rPr>
        <w:t>.</w:t>
      </w:r>
    </w:p>
  </w:footnote>
  <w:footnote w:id="2">
    <w:p w:rsidR="00A91728" w:rsidRPr="00C241B0" w:rsidRDefault="00A91728">
      <w:pPr>
        <w:pStyle w:val="Notedebasdepage"/>
        <w:rPr>
          <w:rFonts w:ascii="Times New Roman" w:hAnsi="Times New Roman" w:cs="Times New Roman"/>
        </w:rPr>
      </w:pPr>
      <w:r w:rsidRPr="00C241B0">
        <w:rPr>
          <w:rStyle w:val="Appelnotedebasdep"/>
          <w:rFonts w:ascii="Times New Roman" w:hAnsi="Times New Roman" w:cs="Times New Roman"/>
        </w:rPr>
        <w:footnoteRef/>
      </w:r>
      <w:r w:rsidRPr="00C241B0">
        <w:rPr>
          <w:rFonts w:ascii="Times New Roman" w:hAnsi="Times New Roman" w:cs="Times New Roman"/>
        </w:rPr>
        <w:t xml:space="preserve"> </w:t>
      </w:r>
      <w:proofErr w:type="gramStart"/>
      <w:r w:rsidRPr="00C241B0">
        <w:rPr>
          <w:rFonts w:ascii="Times New Roman" w:hAnsi="Times New Roman" w:cs="Times New Roman"/>
        </w:rPr>
        <w:t>L</w:t>
      </w:r>
      <w:r>
        <w:rPr>
          <w:rFonts w:ascii="Times New Roman" w:hAnsi="Times New Roman" w:cs="Times New Roman"/>
        </w:rPr>
        <w:t>AVIAILLE .</w:t>
      </w:r>
      <w:proofErr w:type="gramEnd"/>
      <w:r>
        <w:rPr>
          <w:rFonts w:ascii="Times New Roman" w:hAnsi="Times New Roman" w:cs="Times New Roman"/>
        </w:rPr>
        <w:t xml:space="preserve"> C (2015) : « </w:t>
      </w:r>
      <w:r>
        <w:rPr>
          <w:rFonts w:ascii="Times New Roman" w:hAnsi="Times New Roman" w:cs="Times New Roman"/>
          <w:i/>
        </w:rPr>
        <w:t xml:space="preserve">De quelques rapports entre territoire et domaine » </w:t>
      </w:r>
      <w:r>
        <w:rPr>
          <w:rFonts w:ascii="Times New Roman" w:hAnsi="Times New Roman" w:cs="Times New Roman"/>
        </w:rPr>
        <w:t xml:space="preserve"> in  </w:t>
      </w:r>
      <w:proofErr w:type="spellStart"/>
      <w:r>
        <w:rPr>
          <w:rFonts w:ascii="Times New Roman" w:hAnsi="Times New Roman" w:cs="Times New Roman"/>
          <w:i/>
        </w:rPr>
        <w:t>Civitas</w:t>
      </w:r>
      <w:proofErr w:type="spellEnd"/>
      <w:r>
        <w:rPr>
          <w:rFonts w:ascii="Times New Roman" w:hAnsi="Times New Roman" w:cs="Times New Roman"/>
          <w:i/>
        </w:rPr>
        <w:t xml:space="preserve"> Europa</w:t>
      </w:r>
      <w:r>
        <w:rPr>
          <w:rFonts w:ascii="Times New Roman" w:hAnsi="Times New Roman" w:cs="Times New Roman"/>
        </w:rPr>
        <w:t xml:space="preserve"> 2015/2 N°35 pp11-24</w:t>
      </w:r>
    </w:p>
  </w:footnote>
  <w:footnote w:id="3">
    <w:p w:rsidR="00A91728" w:rsidRPr="00494DBB" w:rsidRDefault="00A91728" w:rsidP="00BA6C64">
      <w:pPr>
        <w:pStyle w:val="Notedebasdepage"/>
        <w:rPr>
          <w:rFonts w:ascii="Times New Roman" w:hAnsi="Times New Roman" w:cs="Times New Roman"/>
        </w:rPr>
      </w:pPr>
      <w:r w:rsidRPr="00FC7F9E">
        <w:rPr>
          <w:rStyle w:val="Appelnotedebasdep"/>
          <w:rFonts w:ascii="Times New Roman" w:hAnsi="Times New Roman" w:cs="Times New Roman"/>
          <w:sz w:val="22"/>
          <w:szCs w:val="22"/>
        </w:rPr>
        <w:footnoteRef/>
      </w:r>
      <w:r w:rsidRPr="00FC7F9E">
        <w:rPr>
          <w:rFonts w:ascii="Times New Roman" w:hAnsi="Times New Roman" w:cs="Times New Roman"/>
          <w:sz w:val="22"/>
          <w:szCs w:val="22"/>
        </w:rPr>
        <w:t xml:space="preserve"> </w:t>
      </w:r>
      <w:r w:rsidRPr="00494DBB">
        <w:rPr>
          <w:rFonts w:ascii="Times New Roman" w:hAnsi="Times New Roman" w:cs="Times New Roman"/>
        </w:rPr>
        <w:t xml:space="preserve">Dictionnaire Latin/Français </w:t>
      </w:r>
      <w:proofErr w:type="spellStart"/>
      <w:r w:rsidRPr="00494DBB">
        <w:rPr>
          <w:rFonts w:ascii="Times New Roman" w:hAnsi="Times New Roman" w:cs="Times New Roman"/>
        </w:rPr>
        <w:t>Gaffiot</w:t>
      </w:r>
      <w:proofErr w:type="spellEnd"/>
      <w:r w:rsidRPr="00494DBB">
        <w:rPr>
          <w:rFonts w:ascii="Times New Roman" w:hAnsi="Times New Roman" w:cs="Times New Roman"/>
        </w:rPr>
        <w:t xml:space="preserve"> </w:t>
      </w:r>
      <w:r w:rsidR="00635FFD" w:rsidRPr="00494DBB">
        <w:rPr>
          <w:rFonts w:ascii="Times New Roman" w:hAnsi="Times New Roman" w:cs="Times New Roman"/>
        </w:rPr>
        <w:t>(2016</w:t>
      </w:r>
      <w:r w:rsidRPr="00494DBB">
        <w:rPr>
          <w:rFonts w:ascii="Times New Roman" w:hAnsi="Times New Roman" w:cs="Times New Roman"/>
        </w:rPr>
        <w:t>)</w:t>
      </w:r>
    </w:p>
  </w:footnote>
  <w:footnote w:id="4">
    <w:p w:rsidR="00E071EC" w:rsidRPr="00494DBB" w:rsidRDefault="00E071EC" w:rsidP="00E071EC">
      <w:pPr>
        <w:pStyle w:val="Notedebasdepage"/>
        <w:jc w:val="both"/>
        <w:rPr>
          <w:rFonts w:ascii="Times New Roman" w:hAnsi="Times New Roman" w:cs="Times New Roman"/>
        </w:rPr>
      </w:pPr>
      <w:r w:rsidRPr="00494DBB">
        <w:rPr>
          <w:rStyle w:val="Appelnotedebasdep"/>
          <w:rFonts w:ascii="Times New Roman" w:hAnsi="Times New Roman" w:cs="Times New Roman"/>
        </w:rPr>
        <w:footnoteRef/>
      </w:r>
      <w:r w:rsidRPr="00494DBB">
        <w:rPr>
          <w:rFonts w:ascii="Times New Roman" w:hAnsi="Times New Roman" w:cs="Times New Roman"/>
        </w:rPr>
        <w:t xml:space="preserve"> République du Cameroun-Ministère de la Justice –Tribunal Administratif du Littoral Recours</w:t>
      </w:r>
    </w:p>
    <w:p w:rsidR="00E071EC" w:rsidRPr="00494DBB" w:rsidRDefault="00E071EC" w:rsidP="00E071EC">
      <w:pPr>
        <w:pStyle w:val="Notedebasdepage"/>
        <w:jc w:val="both"/>
        <w:rPr>
          <w:rFonts w:ascii="Times New Roman" w:hAnsi="Times New Roman" w:cs="Times New Roman"/>
        </w:rPr>
      </w:pPr>
      <w:r w:rsidRPr="00494DBB">
        <w:rPr>
          <w:rFonts w:ascii="Times New Roman" w:hAnsi="Times New Roman" w:cs="Times New Roman"/>
        </w:rPr>
        <w:t xml:space="preserve">   N° 306/RG/FD/17 Jugement N° 00/FD/22 du 03/02/22 </w:t>
      </w:r>
    </w:p>
  </w:footnote>
  <w:footnote w:id="5">
    <w:p w:rsidR="00E071EC" w:rsidRPr="00494DBB" w:rsidRDefault="00E071EC" w:rsidP="00E071EC">
      <w:pPr>
        <w:pStyle w:val="Notedebasdepage"/>
        <w:jc w:val="both"/>
        <w:rPr>
          <w:rFonts w:ascii="Times New Roman" w:hAnsi="Times New Roman" w:cs="Times New Roman"/>
        </w:rPr>
      </w:pPr>
      <w:r w:rsidRPr="00494DBB">
        <w:rPr>
          <w:rStyle w:val="Appelnotedebasdep"/>
          <w:rFonts w:ascii="Times New Roman" w:hAnsi="Times New Roman" w:cs="Times New Roman"/>
        </w:rPr>
        <w:footnoteRef/>
      </w:r>
      <w:r w:rsidRPr="00494DBB">
        <w:rPr>
          <w:rFonts w:ascii="Times New Roman" w:hAnsi="Times New Roman" w:cs="Times New Roman"/>
        </w:rPr>
        <w:t xml:space="preserve"> République du Cameroun-Tribunal Administratif </w:t>
      </w:r>
      <w:r w:rsidR="00635FFD" w:rsidRPr="00494DBB">
        <w:rPr>
          <w:rFonts w:ascii="Times New Roman" w:hAnsi="Times New Roman" w:cs="Times New Roman"/>
        </w:rPr>
        <w:t>su Centre</w:t>
      </w:r>
      <w:r w:rsidRPr="00494DBB">
        <w:rPr>
          <w:rFonts w:ascii="Times New Roman" w:hAnsi="Times New Roman" w:cs="Times New Roman"/>
        </w:rPr>
        <w:t>. Audience du Contentieux des Affaires   Foncières et Domaniales. Recours N°589/2014 du 21 mars 2014.Jugement N0159/2018/TA/Yaoundé du 22 mai 2018.</w:t>
      </w:r>
    </w:p>
  </w:footnote>
  <w:footnote w:id="6">
    <w:p w:rsidR="00A91728" w:rsidRPr="00236DE9" w:rsidRDefault="00A91728" w:rsidP="00236DE9">
      <w:pPr>
        <w:autoSpaceDE w:val="0"/>
        <w:autoSpaceDN w:val="0"/>
        <w:adjustRightInd w:val="0"/>
        <w:spacing w:after="0" w:line="240" w:lineRule="auto"/>
        <w:rPr>
          <w:rFonts w:ascii="Times New Roman" w:hAnsi="Times New Roman" w:cs="Times New Roman"/>
          <w:sz w:val="20"/>
          <w:szCs w:val="20"/>
          <w:lang w:val="en-US"/>
        </w:rPr>
      </w:pPr>
      <w:r>
        <w:rPr>
          <w:rStyle w:val="Appelnotedebasdep"/>
        </w:rPr>
        <w:footnoteRef/>
      </w:r>
      <w:r w:rsidRPr="00236DE9">
        <w:rPr>
          <w:lang w:val="en-US"/>
        </w:rPr>
        <w:t xml:space="preserve"> </w:t>
      </w:r>
      <w:r w:rsidRPr="00236DE9">
        <w:rPr>
          <w:rFonts w:ascii="Times New Roman" w:hAnsi="Times New Roman" w:cs="Times New Roman"/>
          <w:sz w:val="20"/>
          <w:szCs w:val="20"/>
          <w:lang w:val="en-US"/>
        </w:rPr>
        <w:t xml:space="preserve"> GARFINKEL, </w:t>
      </w:r>
      <w:r>
        <w:rPr>
          <w:rFonts w:ascii="Times New Roman" w:hAnsi="Times New Roman" w:cs="Times New Roman"/>
          <w:sz w:val="20"/>
          <w:szCs w:val="20"/>
          <w:lang w:val="en-US"/>
        </w:rPr>
        <w:t xml:space="preserve"> H (</w:t>
      </w:r>
      <w:r w:rsidRPr="00236DE9">
        <w:rPr>
          <w:rFonts w:ascii="Times New Roman" w:hAnsi="Times New Roman" w:cs="Times New Roman"/>
          <w:sz w:val="20"/>
          <w:szCs w:val="20"/>
          <w:lang w:val="en-US"/>
        </w:rPr>
        <w:t>1974</w:t>
      </w:r>
      <w:r>
        <w:rPr>
          <w:rFonts w:ascii="Times New Roman" w:hAnsi="Times New Roman" w:cs="Times New Roman"/>
          <w:sz w:val="20"/>
          <w:szCs w:val="20"/>
          <w:lang w:val="en-US"/>
        </w:rPr>
        <w:t xml:space="preserve">) </w:t>
      </w:r>
      <w:r w:rsidRPr="00236DE9">
        <w:rPr>
          <w:rFonts w:ascii="Times New Roman" w:hAnsi="Times New Roman" w:cs="Times New Roman"/>
          <w:sz w:val="20"/>
          <w:szCs w:val="20"/>
          <w:lang w:val="en-US"/>
        </w:rPr>
        <w:t xml:space="preserve">« The Origins of the Term ‘Ethnomethodology’ », </w:t>
      </w:r>
      <w:r w:rsidRPr="00236DE9">
        <w:rPr>
          <w:rFonts w:ascii="Times New Roman" w:hAnsi="Times New Roman" w:cs="Times New Roman"/>
          <w:i/>
          <w:iCs/>
          <w:sz w:val="20"/>
          <w:szCs w:val="20"/>
          <w:lang w:val="en-US"/>
        </w:rPr>
        <w:t xml:space="preserve">in </w:t>
      </w:r>
      <w:r>
        <w:rPr>
          <w:rFonts w:ascii="Times New Roman" w:hAnsi="Times New Roman" w:cs="Times New Roman"/>
          <w:sz w:val="20"/>
          <w:szCs w:val="20"/>
          <w:lang w:val="en-US"/>
        </w:rPr>
        <w:t xml:space="preserve">R. Turner (ed.), </w:t>
      </w:r>
      <w:r w:rsidRPr="00236DE9">
        <w:rPr>
          <w:rFonts w:ascii="Times New Roman" w:hAnsi="Times New Roman" w:cs="Times New Roman"/>
          <w:i/>
          <w:iCs/>
          <w:sz w:val="20"/>
          <w:szCs w:val="20"/>
          <w:lang w:val="en-US"/>
        </w:rPr>
        <w:t>Ethnomethodology</w:t>
      </w:r>
      <w:r w:rsidRPr="00236DE9">
        <w:rPr>
          <w:rFonts w:ascii="Times New Roman" w:hAnsi="Times New Roman" w:cs="Times New Roman"/>
          <w:sz w:val="20"/>
          <w:szCs w:val="20"/>
          <w:lang w:val="en-US"/>
        </w:rPr>
        <w:t xml:space="preserve">, </w:t>
      </w:r>
      <w:r w:rsidR="00BF78EF" w:rsidRPr="00236DE9">
        <w:rPr>
          <w:rFonts w:ascii="Times New Roman" w:hAnsi="Times New Roman" w:cs="Times New Roman"/>
          <w:sz w:val="20"/>
          <w:szCs w:val="20"/>
          <w:lang w:val="en-US"/>
        </w:rPr>
        <w:t>Hammondsport</w:t>
      </w:r>
      <w:r w:rsidRPr="00236DE9">
        <w:rPr>
          <w:rFonts w:ascii="Times New Roman" w:hAnsi="Times New Roman" w:cs="Times New Roman"/>
          <w:sz w:val="20"/>
          <w:szCs w:val="20"/>
          <w:lang w:val="en-US"/>
        </w:rPr>
        <w:t>, Penguin Books Ltd,  p. 16</w:t>
      </w:r>
    </w:p>
  </w:footnote>
  <w:footnote w:id="7">
    <w:p w:rsidR="00DE49BA" w:rsidRDefault="00DE49BA">
      <w:pPr>
        <w:pStyle w:val="Notedebasdepage"/>
      </w:pPr>
      <w:r>
        <w:rPr>
          <w:rStyle w:val="Appelnotedebasdep"/>
        </w:rPr>
        <w:footnoteRef/>
      </w:r>
      <w:r>
        <w:t xml:space="preserve"> A </w:t>
      </w:r>
      <w:proofErr w:type="spellStart"/>
      <w:r>
        <w:t>Socpa</w:t>
      </w:r>
      <w:proofErr w:type="spellEnd"/>
      <w:r>
        <w:t xml:space="preserve"> </w:t>
      </w:r>
    </w:p>
  </w:footnote>
  <w:footnote w:id="8">
    <w:p w:rsidR="00A91728" w:rsidRDefault="00A91728">
      <w:pPr>
        <w:pStyle w:val="Notedebasdepage"/>
      </w:pPr>
      <w:r>
        <w:rPr>
          <w:rStyle w:val="Appelnotedebasdep"/>
        </w:rPr>
        <w:footnoteRef/>
      </w:r>
      <w:r>
        <w:t xml:space="preserve"> </w:t>
      </w:r>
    </w:p>
  </w:footnote>
  <w:footnote w:id="9">
    <w:p w:rsidR="00A91728" w:rsidRPr="00573B2A" w:rsidRDefault="00A91728" w:rsidP="007D76B7">
      <w:pPr>
        <w:pStyle w:val="Notedebasdepage"/>
      </w:pPr>
      <w:r>
        <w:rPr>
          <w:rStyle w:val="Appelnotedebasdep"/>
        </w:rPr>
        <w:footnoteRef/>
      </w:r>
      <w:r w:rsidRPr="00F33778">
        <w:t xml:space="preserve"> </w:t>
      </w:r>
      <w:r w:rsidRPr="00F33778">
        <w:rPr>
          <w:rFonts w:ascii="Times New Roman" w:hAnsi="Times New Roman" w:cs="Times New Roman"/>
        </w:rPr>
        <w:t xml:space="preserve">Journal nouvelle Expression n°5796 du Mercredi 22 septembre 2022  </w:t>
      </w:r>
      <w:r>
        <w:rPr>
          <w:rFonts w:ascii="Times New Roman" w:hAnsi="Times New Roman" w:cs="Times New Roman"/>
        </w:rPr>
        <w:t xml:space="preserve"> </w:t>
      </w:r>
      <w:r w:rsidRPr="00F33778">
        <w:rPr>
          <w:rFonts w:ascii="Times New Roman" w:hAnsi="Times New Roman" w:cs="Times New Roman"/>
        </w:rPr>
        <w:t>p.3</w:t>
      </w:r>
    </w:p>
  </w:footnote>
  <w:footnote w:id="10">
    <w:p w:rsidR="00A91728" w:rsidRPr="007E6C8F" w:rsidRDefault="00A91728">
      <w:pPr>
        <w:pStyle w:val="Notedebasdepage"/>
        <w:rPr>
          <w:rFonts w:ascii="Times New Roman" w:hAnsi="Times New Roman" w:cs="Times New Roman"/>
        </w:rPr>
      </w:pPr>
      <w:r w:rsidRPr="007E6C8F">
        <w:rPr>
          <w:rStyle w:val="Appelnotedebasdep"/>
          <w:rFonts w:ascii="Times New Roman" w:hAnsi="Times New Roman" w:cs="Times New Roman"/>
        </w:rPr>
        <w:footnoteRef/>
      </w:r>
      <w:r w:rsidRPr="007E6C8F">
        <w:rPr>
          <w:rFonts w:ascii="Times New Roman" w:hAnsi="Times New Roman" w:cs="Times New Roman"/>
        </w:rPr>
        <w:t xml:space="preserve"> </w:t>
      </w:r>
      <w:r w:rsidR="007E6C8F">
        <w:rPr>
          <w:rFonts w:ascii="Times New Roman" w:hAnsi="Times New Roman" w:cs="Times New Roman"/>
        </w:rPr>
        <w:t xml:space="preserve"> Un des clans détenteurs coutumiers de la ville de Yaoundé</w:t>
      </w:r>
    </w:p>
  </w:footnote>
  <w:footnote w:id="11">
    <w:p w:rsidR="00270785" w:rsidRPr="00A471CD" w:rsidRDefault="00270785" w:rsidP="00270785">
      <w:pPr>
        <w:pStyle w:val="Notedebasdepage"/>
        <w:rPr>
          <w:rFonts w:asciiTheme="majorHAnsi" w:hAnsiTheme="majorHAnsi"/>
        </w:rPr>
      </w:pPr>
      <w:r w:rsidRPr="00A471CD">
        <w:rPr>
          <w:rStyle w:val="Appelnotedebasdep"/>
          <w:rFonts w:asciiTheme="majorHAnsi" w:hAnsiTheme="majorHAnsi"/>
        </w:rPr>
        <w:footnoteRef/>
      </w:r>
      <w:r w:rsidRPr="00A471CD">
        <w:rPr>
          <w:rFonts w:asciiTheme="majorHAnsi" w:hAnsiTheme="majorHAnsi"/>
        </w:rPr>
        <w:t xml:space="preserve"> SIC : Société Immobilière du Cameroun</w:t>
      </w:r>
    </w:p>
  </w:footnote>
  <w:footnote w:id="12">
    <w:p w:rsidR="00184463" w:rsidRPr="00184463" w:rsidRDefault="00184463">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Un des quartiers de la ville  de Yaoundé</w:t>
      </w:r>
    </w:p>
  </w:footnote>
  <w:footnote w:id="13">
    <w:p w:rsidR="00270785" w:rsidRPr="00A471CD" w:rsidRDefault="00270785" w:rsidP="00270785">
      <w:pPr>
        <w:pStyle w:val="Notedebasdepage"/>
        <w:rPr>
          <w:rFonts w:asciiTheme="majorHAnsi" w:hAnsiTheme="majorHAnsi"/>
        </w:rPr>
      </w:pPr>
      <w:r w:rsidRPr="00A471CD">
        <w:rPr>
          <w:rFonts w:asciiTheme="majorHAnsi" w:hAnsiTheme="majorHAnsi"/>
        </w:rPr>
        <w:t>-</w:t>
      </w:r>
      <w:r w:rsidRPr="00A471CD">
        <w:rPr>
          <w:rStyle w:val="Appelnotedebasdep"/>
          <w:rFonts w:asciiTheme="majorHAnsi" w:hAnsiTheme="majorHAnsi"/>
        </w:rPr>
        <w:footnoteRef/>
      </w:r>
      <w:r w:rsidRPr="00A471CD">
        <w:rPr>
          <w:rFonts w:asciiTheme="majorHAnsi" w:hAnsiTheme="majorHAnsi"/>
        </w:rPr>
        <w:t xml:space="preserve"> </w:t>
      </w:r>
      <w:r w:rsidRPr="00A471CD">
        <w:rPr>
          <w:rFonts w:asciiTheme="majorHAnsi" w:hAnsiTheme="majorHAnsi" w:cs="Times New Roman"/>
        </w:rPr>
        <w:t>MAETUR : Mission d’Aménagement et d’Etude des Terrains Urbains et Ruraux</w:t>
      </w:r>
    </w:p>
  </w:footnote>
  <w:footnote w:id="14">
    <w:p w:rsidR="006350E4" w:rsidRPr="00C20656" w:rsidRDefault="006350E4">
      <w:pPr>
        <w:pStyle w:val="Notedebasdepage"/>
        <w:rPr>
          <w:rFonts w:ascii="Times New Roman" w:hAnsi="Times New Roman" w:cs="Times New Roman"/>
        </w:rPr>
      </w:pPr>
      <w:r>
        <w:rPr>
          <w:rStyle w:val="Appelnotedebasdep"/>
        </w:rPr>
        <w:footnoteRef/>
      </w:r>
      <w:r>
        <w:t xml:space="preserve"> </w:t>
      </w:r>
      <w:r w:rsidRPr="006350E4">
        <w:rPr>
          <w:rFonts w:ascii="Times New Roman" w:hAnsi="Times New Roman" w:cs="Times New Roman"/>
        </w:rPr>
        <w:t xml:space="preserve">Etienne Le Roy (2011), </w:t>
      </w:r>
      <w:r w:rsidRPr="006350E4">
        <w:rPr>
          <w:rFonts w:ascii="Times New Roman" w:hAnsi="Times New Roman" w:cs="Times New Roman"/>
          <w:i/>
        </w:rPr>
        <w:t xml:space="preserve">La terre de l’autre, une anthropologie des régimes d’appropriation </w:t>
      </w:r>
      <w:proofErr w:type="spellStart"/>
      <w:proofErr w:type="gramStart"/>
      <w:r w:rsidRPr="006350E4">
        <w:rPr>
          <w:rFonts w:ascii="Times New Roman" w:hAnsi="Times New Roman" w:cs="Times New Roman"/>
          <w:i/>
        </w:rPr>
        <w:t>foncière.</w:t>
      </w:r>
      <w:r w:rsidRPr="006350E4">
        <w:rPr>
          <w:rFonts w:ascii="Times New Roman" w:hAnsi="Times New Roman" w:cs="Times New Roman"/>
        </w:rPr>
        <w:t>Paris</w:t>
      </w:r>
      <w:proofErr w:type="spellEnd"/>
      <w:r w:rsidRPr="006350E4">
        <w:rPr>
          <w:rFonts w:ascii="Times New Roman" w:hAnsi="Times New Roman" w:cs="Times New Roman"/>
        </w:rPr>
        <w:t xml:space="preserve"> ,</w:t>
      </w:r>
      <w:proofErr w:type="gramEnd"/>
      <w:r w:rsidRPr="006350E4">
        <w:rPr>
          <w:rFonts w:ascii="Times New Roman" w:hAnsi="Times New Roman" w:cs="Times New Roman"/>
        </w:rPr>
        <w:t xml:space="preserve"> </w:t>
      </w:r>
      <w:r w:rsidRPr="00C20656">
        <w:rPr>
          <w:rFonts w:ascii="Times New Roman" w:hAnsi="Times New Roman" w:cs="Times New Roman"/>
        </w:rPr>
        <w:t>LGDJ, p.50</w:t>
      </w:r>
    </w:p>
  </w:footnote>
  <w:footnote w:id="15">
    <w:p w:rsidR="006350E4" w:rsidRPr="00C20656" w:rsidRDefault="006350E4">
      <w:pPr>
        <w:pStyle w:val="Notedebasdepage"/>
        <w:rPr>
          <w:rFonts w:ascii="Times New Roman" w:hAnsi="Times New Roman" w:cs="Times New Roman"/>
        </w:rPr>
      </w:pPr>
      <w:r w:rsidRPr="00C20656">
        <w:rPr>
          <w:rStyle w:val="Appelnotedebasdep"/>
          <w:rFonts w:ascii="Times New Roman" w:hAnsi="Times New Roman" w:cs="Times New Roman"/>
        </w:rPr>
        <w:footnoteRef/>
      </w:r>
      <w:r w:rsidRPr="00C20656">
        <w:rPr>
          <w:rFonts w:ascii="Times New Roman" w:hAnsi="Times New Roman" w:cs="Times New Roman"/>
        </w:rPr>
        <w:t xml:space="preserve"> Jean Louis </w:t>
      </w:r>
      <w:proofErr w:type="spellStart"/>
      <w:r w:rsidRPr="00C20656">
        <w:rPr>
          <w:rFonts w:ascii="Times New Roman" w:hAnsi="Times New Roman" w:cs="Times New Roman"/>
        </w:rPr>
        <w:t>Amselle</w:t>
      </w:r>
      <w:proofErr w:type="spellEnd"/>
      <w:r w:rsidRPr="00C20656">
        <w:rPr>
          <w:rFonts w:ascii="Times New Roman" w:hAnsi="Times New Roman" w:cs="Times New Roman"/>
        </w:rPr>
        <w:t xml:space="preserve">  </w:t>
      </w:r>
      <w:proofErr w:type="spellStart"/>
      <w:r w:rsidRPr="00C20656">
        <w:rPr>
          <w:rFonts w:ascii="Times New Roman" w:hAnsi="Times New Roman" w:cs="Times New Roman"/>
        </w:rPr>
        <w:t>Elikia</w:t>
      </w:r>
      <w:proofErr w:type="spellEnd"/>
      <w:r w:rsidRPr="00C20656">
        <w:rPr>
          <w:rFonts w:ascii="Times New Roman" w:hAnsi="Times New Roman" w:cs="Times New Roman"/>
        </w:rPr>
        <w:t xml:space="preserve"> M’</w:t>
      </w:r>
      <w:proofErr w:type="spellStart"/>
      <w:r w:rsidRPr="00C20656">
        <w:rPr>
          <w:rFonts w:ascii="Times New Roman" w:hAnsi="Times New Roman" w:cs="Times New Roman"/>
        </w:rPr>
        <w:t>bokolo</w:t>
      </w:r>
      <w:proofErr w:type="spellEnd"/>
      <w:r w:rsidRPr="00C20656">
        <w:rPr>
          <w:rFonts w:ascii="Times New Roman" w:hAnsi="Times New Roman" w:cs="Times New Roman"/>
        </w:rPr>
        <w:t xml:space="preserve">  (1985</w:t>
      </w:r>
      <w:proofErr w:type="gramStart"/>
      <w:r w:rsidRPr="00C20656">
        <w:rPr>
          <w:rFonts w:ascii="Times New Roman" w:hAnsi="Times New Roman" w:cs="Times New Roman"/>
        </w:rPr>
        <w:t>) ,</w:t>
      </w:r>
      <w:proofErr w:type="gramEnd"/>
      <w:r w:rsidRPr="00C20656">
        <w:rPr>
          <w:rFonts w:ascii="Times New Roman" w:hAnsi="Times New Roman" w:cs="Times New Roman"/>
        </w:rPr>
        <w:t xml:space="preserve">  </w:t>
      </w:r>
      <w:r w:rsidRPr="00C20656">
        <w:rPr>
          <w:rFonts w:ascii="Times New Roman" w:hAnsi="Times New Roman" w:cs="Times New Roman"/>
          <w:i/>
        </w:rPr>
        <w:t xml:space="preserve">Au cœur de l’ethnie .Ethnies , Tribalisme et Etat en Afrique </w:t>
      </w:r>
      <w:r w:rsidRPr="00C20656">
        <w:rPr>
          <w:rFonts w:ascii="Times New Roman" w:hAnsi="Times New Roman" w:cs="Times New Roman"/>
        </w:rPr>
        <w:t>, Paris  , Editions La Découverte,</w:t>
      </w:r>
      <w:r w:rsidR="00C20656" w:rsidRPr="00C20656">
        <w:rPr>
          <w:rFonts w:ascii="Times New Roman" w:hAnsi="Times New Roman" w:cs="Times New Roman"/>
        </w:rPr>
        <w:t xml:space="preserve"> p</w:t>
      </w:r>
      <w:r w:rsidRPr="00C20656">
        <w:rPr>
          <w:rFonts w:ascii="Times New Roman" w:hAnsi="Times New Roman" w:cs="Times New Roman"/>
        </w:rPr>
        <w:t>.43</w:t>
      </w:r>
    </w:p>
  </w:footnote>
  <w:footnote w:id="16">
    <w:p w:rsidR="006350E4" w:rsidRDefault="006350E4">
      <w:pPr>
        <w:pStyle w:val="Notedebasdepage"/>
      </w:pPr>
      <w:r w:rsidRPr="00C20656">
        <w:rPr>
          <w:rStyle w:val="Appelnotedebasdep"/>
          <w:rFonts w:ascii="Times New Roman" w:hAnsi="Times New Roman" w:cs="Times New Roman"/>
        </w:rPr>
        <w:footnoteRef/>
      </w:r>
      <w:r w:rsidRPr="00C20656">
        <w:rPr>
          <w:rFonts w:ascii="Times New Roman" w:hAnsi="Times New Roman" w:cs="Times New Roman"/>
        </w:rPr>
        <w:t xml:space="preserve"> </w:t>
      </w:r>
      <w:r w:rsidR="00C20656" w:rsidRPr="00C20656">
        <w:rPr>
          <w:rFonts w:ascii="Times New Roman" w:hAnsi="Times New Roman" w:cs="Times New Roman"/>
          <w:i/>
        </w:rPr>
        <w:t xml:space="preserve">Op </w:t>
      </w:r>
      <w:proofErr w:type="spellStart"/>
      <w:r w:rsidR="00C20656" w:rsidRPr="00C20656">
        <w:rPr>
          <w:rFonts w:ascii="Times New Roman" w:hAnsi="Times New Roman" w:cs="Times New Roman"/>
          <w:i/>
        </w:rPr>
        <w:t>cit</w:t>
      </w:r>
      <w:proofErr w:type="spellEnd"/>
      <w:r w:rsidR="00C20656" w:rsidRPr="00C20656">
        <w:rPr>
          <w:rFonts w:ascii="Times New Roman" w:hAnsi="Times New Roman" w:cs="Times New Roman"/>
          <w:i/>
        </w:rPr>
        <w:t xml:space="preserve"> </w:t>
      </w:r>
      <w:r w:rsidR="00C20656" w:rsidRPr="00C20656">
        <w:rPr>
          <w:rFonts w:ascii="Times New Roman" w:hAnsi="Times New Roman" w:cs="Times New Roman"/>
        </w:rPr>
        <w:t>p</w:t>
      </w:r>
      <w:r w:rsidR="00C20656">
        <w:t>.43</w:t>
      </w:r>
    </w:p>
  </w:footnote>
  <w:footnote w:id="17">
    <w:p w:rsidR="00C20656" w:rsidRPr="00C20656" w:rsidRDefault="00C20656">
      <w:pPr>
        <w:pStyle w:val="Notedebasdepage"/>
        <w:rPr>
          <w:rFonts w:ascii="Times New Roman" w:hAnsi="Times New Roman" w:cs="Times New Roman"/>
        </w:rPr>
      </w:pPr>
      <w:r w:rsidRPr="00C20656">
        <w:rPr>
          <w:rStyle w:val="Appelnotedebasdep"/>
          <w:rFonts w:ascii="Times New Roman" w:hAnsi="Times New Roman" w:cs="Times New Roman"/>
        </w:rPr>
        <w:footnoteRef/>
      </w:r>
      <w:r w:rsidRPr="00C20656">
        <w:rPr>
          <w:rFonts w:ascii="Times New Roman" w:hAnsi="Times New Roman" w:cs="Times New Roman"/>
        </w:rPr>
        <w:t xml:space="preserve"> Etienne Le Roy (2019)</w:t>
      </w:r>
      <w:r>
        <w:rPr>
          <w:rFonts w:ascii="Times New Roman" w:hAnsi="Times New Roman" w:cs="Times New Roman"/>
        </w:rPr>
        <w:t xml:space="preserve">, </w:t>
      </w:r>
      <w:r w:rsidRPr="00C20656">
        <w:rPr>
          <w:rFonts w:ascii="Times New Roman" w:hAnsi="Times New Roman" w:cs="Times New Roman"/>
          <w:i/>
        </w:rPr>
        <w:t xml:space="preserve">Pourquoi  et comment la juridicité des communs s’est-elle imposée dans nos travaux fonciers ? Récit d’une </w:t>
      </w:r>
      <w:proofErr w:type="gramStart"/>
      <w:r w:rsidRPr="00C20656">
        <w:rPr>
          <w:rFonts w:ascii="Times New Roman" w:hAnsi="Times New Roman" w:cs="Times New Roman"/>
          <w:i/>
        </w:rPr>
        <w:t>initiation</w:t>
      </w:r>
      <w:r>
        <w:rPr>
          <w:rFonts w:ascii="Times New Roman" w:hAnsi="Times New Roman" w:cs="Times New Roman"/>
        </w:rPr>
        <w:t xml:space="preserve"> ,</w:t>
      </w:r>
      <w:proofErr w:type="gramEnd"/>
      <w:r>
        <w:rPr>
          <w:rFonts w:ascii="Times New Roman" w:hAnsi="Times New Roman" w:cs="Times New Roman"/>
        </w:rPr>
        <w:t xml:space="preserve"> in  Regards sur le foncier n¨8,  Comité technique Foncier et développement AFD ; MAE p.3</w:t>
      </w:r>
    </w:p>
  </w:footnote>
  <w:footnote w:id="18">
    <w:p w:rsidR="00694E43" w:rsidRPr="00694E43" w:rsidRDefault="00694E43" w:rsidP="00694E43">
      <w:pPr>
        <w:autoSpaceDE w:val="0"/>
        <w:autoSpaceDN w:val="0"/>
        <w:adjustRightInd w:val="0"/>
        <w:spacing w:after="0" w:line="240" w:lineRule="auto"/>
        <w:rPr>
          <w:rFonts w:ascii="Times New Roman" w:hAnsi="Times New Roman" w:cs="Times New Roman"/>
          <w:sz w:val="20"/>
          <w:szCs w:val="20"/>
        </w:rPr>
      </w:pPr>
      <w:r w:rsidRPr="00694E43">
        <w:rPr>
          <w:rStyle w:val="Appelnotedebasdep"/>
          <w:rFonts w:ascii="Times New Roman" w:hAnsi="Times New Roman" w:cs="Times New Roman"/>
          <w:sz w:val="20"/>
          <w:szCs w:val="20"/>
        </w:rPr>
        <w:footnoteRef/>
      </w:r>
      <w:r w:rsidRPr="00694E43">
        <w:rPr>
          <w:rFonts w:ascii="Times New Roman" w:hAnsi="Times New Roman" w:cs="Times New Roman"/>
          <w:sz w:val="20"/>
          <w:szCs w:val="20"/>
        </w:rPr>
        <w:t xml:space="preserve"> </w:t>
      </w:r>
      <w:proofErr w:type="spellStart"/>
      <w:r w:rsidRPr="00694E43">
        <w:rPr>
          <w:rFonts w:ascii="Times New Roman" w:hAnsi="Times New Roman" w:cs="Times New Roman"/>
          <w:sz w:val="20"/>
          <w:szCs w:val="20"/>
        </w:rPr>
        <w:t>Dortier</w:t>
      </w:r>
      <w:proofErr w:type="spellEnd"/>
      <w:r w:rsidRPr="00694E43">
        <w:rPr>
          <w:rFonts w:ascii="Times New Roman" w:hAnsi="Times New Roman" w:cs="Times New Roman"/>
          <w:sz w:val="20"/>
          <w:szCs w:val="20"/>
        </w:rPr>
        <w:t xml:space="preserve"> J F., (2013), </w:t>
      </w:r>
      <w:r w:rsidRPr="00694E43">
        <w:rPr>
          <w:rFonts w:ascii="Times New Roman" w:hAnsi="Times New Roman" w:cs="Times New Roman"/>
          <w:i/>
          <w:sz w:val="20"/>
          <w:szCs w:val="20"/>
        </w:rPr>
        <w:t>Le Dictionnaire des Sciences sociales</w:t>
      </w:r>
      <w:r w:rsidRPr="00694E43">
        <w:rPr>
          <w:rFonts w:ascii="Times New Roman" w:hAnsi="Times New Roman" w:cs="Times New Roman"/>
          <w:sz w:val="20"/>
          <w:szCs w:val="20"/>
        </w:rPr>
        <w:t>, Auxerre, Éditions des Sciences humaines.</w:t>
      </w:r>
      <w:r>
        <w:rPr>
          <w:rFonts w:ascii="Times New Roman" w:hAnsi="Times New Roman" w:cs="Times New Roman"/>
          <w:sz w:val="20"/>
          <w:szCs w:val="20"/>
        </w:rPr>
        <w:t>p.452</w:t>
      </w:r>
    </w:p>
  </w:footnote>
  <w:footnote w:id="19">
    <w:p w:rsidR="00694E43" w:rsidRPr="00694E43" w:rsidRDefault="00694E43" w:rsidP="00694E43">
      <w:pPr>
        <w:autoSpaceDE w:val="0"/>
        <w:autoSpaceDN w:val="0"/>
        <w:adjustRightInd w:val="0"/>
        <w:spacing w:after="0" w:line="240" w:lineRule="auto"/>
        <w:rPr>
          <w:rFonts w:ascii="Times New Roman" w:hAnsi="Times New Roman" w:cs="Times New Roman"/>
          <w:sz w:val="20"/>
          <w:szCs w:val="20"/>
        </w:rPr>
      </w:pPr>
      <w:r>
        <w:rPr>
          <w:rStyle w:val="Appelnotedebasdep"/>
        </w:rPr>
        <w:footnoteRef/>
      </w:r>
      <w:r>
        <w:t xml:space="preserve"> </w:t>
      </w:r>
      <w:proofErr w:type="spellStart"/>
      <w:r w:rsidRPr="00694E43">
        <w:rPr>
          <w:rFonts w:ascii="Times New Roman" w:hAnsi="Times New Roman" w:cs="Times New Roman"/>
          <w:sz w:val="20"/>
          <w:szCs w:val="20"/>
        </w:rPr>
        <w:t>Op.cit</w:t>
      </w:r>
      <w:proofErr w:type="spellEnd"/>
      <w:r w:rsidRPr="00694E43">
        <w:rPr>
          <w:rFonts w:ascii="Times New Roman" w:hAnsi="Times New Roman" w:cs="Times New Roman"/>
          <w:sz w:val="20"/>
          <w:szCs w:val="20"/>
        </w:rPr>
        <w:t xml:space="preserve"> </w:t>
      </w:r>
      <w:r w:rsidR="00184463">
        <w:rPr>
          <w:rFonts w:ascii="Times New Roman" w:hAnsi="Times New Roman" w:cs="Times New Roman"/>
          <w:sz w:val="20"/>
          <w:szCs w:val="20"/>
        </w:rPr>
        <w:t xml:space="preserve"> </w:t>
      </w:r>
      <w:r w:rsidRPr="00694E43">
        <w:rPr>
          <w:rFonts w:ascii="Times New Roman" w:hAnsi="Times New Roman" w:cs="Times New Roman"/>
          <w:sz w:val="20"/>
          <w:szCs w:val="20"/>
        </w:rPr>
        <w:t>p.453</w:t>
      </w:r>
    </w:p>
    <w:p w:rsidR="00694E43" w:rsidRDefault="00694E4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48" w:rsidRPr="00184463" w:rsidRDefault="00AE4E48">
    <w:pPr>
      <w:pStyle w:val="En-tte"/>
      <w:rPr>
        <w:lang w:val="en-US"/>
      </w:rPr>
    </w:pPr>
    <w:r w:rsidRPr="00184463">
      <w:rPr>
        <w:lang w:val="en-US"/>
      </w:rPr>
      <w:t>Obono Francis Pascal</w:t>
    </w:r>
  </w:p>
  <w:p w:rsidR="00AE4E48" w:rsidRPr="00184463" w:rsidRDefault="00AE4E48">
    <w:pPr>
      <w:pStyle w:val="En-tte"/>
      <w:rPr>
        <w:lang w:val="en-US"/>
      </w:rPr>
    </w:pPr>
    <w:r w:rsidRPr="00184463">
      <w:rPr>
        <w:lang w:val="en-US"/>
      </w:rPr>
      <w:t>Anthropologist</w:t>
    </w:r>
  </w:p>
  <w:p w:rsidR="00AE4E48" w:rsidRPr="00184463" w:rsidRDefault="00AE4E48">
    <w:pPr>
      <w:pStyle w:val="En-tte"/>
      <w:rPr>
        <w:lang w:val="en-US"/>
      </w:rPr>
    </w:pPr>
    <w:r w:rsidRPr="00184463">
      <w:rPr>
        <w:lang w:val="en-US"/>
      </w:rPr>
      <w:t>University of Yaoundé 1</w:t>
    </w:r>
  </w:p>
  <w:p w:rsidR="007E6C8F" w:rsidRPr="00184463" w:rsidRDefault="007E6C8F">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821"/>
    <w:multiLevelType w:val="hybridMultilevel"/>
    <w:tmpl w:val="1F0C68D6"/>
    <w:lvl w:ilvl="0" w:tplc="069272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BA21E4"/>
    <w:multiLevelType w:val="hybridMultilevel"/>
    <w:tmpl w:val="BFE42DC4"/>
    <w:lvl w:ilvl="0" w:tplc="AB429D52">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242F61D2"/>
    <w:multiLevelType w:val="hybridMultilevel"/>
    <w:tmpl w:val="C33C84F0"/>
    <w:lvl w:ilvl="0" w:tplc="2C0C0015">
      <w:start w:val="2"/>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
    <w:nsid w:val="2C3356DC"/>
    <w:multiLevelType w:val="hybridMultilevel"/>
    <w:tmpl w:val="34146656"/>
    <w:lvl w:ilvl="0" w:tplc="8FAAE54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5805F1"/>
    <w:multiLevelType w:val="hybridMultilevel"/>
    <w:tmpl w:val="32B84760"/>
    <w:lvl w:ilvl="0" w:tplc="2C0C0015">
      <w:start w:val="1"/>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67974FAE"/>
    <w:multiLevelType w:val="hybridMultilevel"/>
    <w:tmpl w:val="95EE38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891540"/>
    <w:multiLevelType w:val="hybridMultilevel"/>
    <w:tmpl w:val="FD8EB8E4"/>
    <w:lvl w:ilvl="0" w:tplc="FF9CAF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50"/>
    <w:rsid w:val="00004184"/>
    <w:rsid w:val="000105B6"/>
    <w:rsid w:val="000169D1"/>
    <w:rsid w:val="000202BE"/>
    <w:rsid w:val="0002392A"/>
    <w:rsid w:val="0002578A"/>
    <w:rsid w:val="00026232"/>
    <w:rsid w:val="000267AA"/>
    <w:rsid w:val="00035CA9"/>
    <w:rsid w:val="00036C65"/>
    <w:rsid w:val="000400A3"/>
    <w:rsid w:val="000535AA"/>
    <w:rsid w:val="00054ECC"/>
    <w:rsid w:val="00062106"/>
    <w:rsid w:val="000629B7"/>
    <w:rsid w:val="00062DED"/>
    <w:rsid w:val="0007165A"/>
    <w:rsid w:val="00080881"/>
    <w:rsid w:val="00080D01"/>
    <w:rsid w:val="000874E9"/>
    <w:rsid w:val="000901D1"/>
    <w:rsid w:val="000912AC"/>
    <w:rsid w:val="0009131C"/>
    <w:rsid w:val="000924ED"/>
    <w:rsid w:val="00095282"/>
    <w:rsid w:val="000A09E9"/>
    <w:rsid w:val="000A1592"/>
    <w:rsid w:val="000A1F1C"/>
    <w:rsid w:val="000A44C9"/>
    <w:rsid w:val="000A6E87"/>
    <w:rsid w:val="000B5842"/>
    <w:rsid w:val="000B7E14"/>
    <w:rsid w:val="000C3538"/>
    <w:rsid w:val="000C5B37"/>
    <w:rsid w:val="000C6800"/>
    <w:rsid w:val="000C72B1"/>
    <w:rsid w:val="000C79E2"/>
    <w:rsid w:val="000D3709"/>
    <w:rsid w:val="000D4FB9"/>
    <w:rsid w:val="000E000F"/>
    <w:rsid w:val="000E0EF6"/>
    <w:rsid w:val="000E4FA6"/>
    <w:rsid w:val="000E6AE5"/>
    <w:rsid w:val="000F368B"/>
    <w:rsid w:val="00103CE0"/>
    <w:rsid w:val="00104B81"/>
    <w:rsid w:val="00105EF7"/>
    <w:rsid w:val="001070AC"/>
    <w:rsid w:val="00111B86"/>
    <w:rsid w:val="0011239E"/>
    <w:rsid w:val="00113A63"/>
    <w:rsid w:val="00116E9F"/>
    <w:rsid w:val="00123881"/>
    <w:rsid w:val="00123BCF"/>
    <w:rsid w:val="00124241"/>
    <w:rsid w:val="001303BC"/>
    <w:rsid w:val="0013105E"/>
    <w:rsid w:val="00132487"/>
    <w:rsid w:val="00133BB5"/>
    <w:rsid w:val="00133EE0"/>
    <w:rsid w:val="001370FE"/>
    <w:rsid w:val="00144472"/>
    <w:rsid w:val="00147EA2"/>
    <w:rsid w:val="00154019"/>
    <w:rsid w:val="00154312"/>
    <w:rsid w:val="00157BB7"/>
    <w:rsid w:val="00163DD0"/>
    <w:rsid w:val="00170CEA"/>
    <w:rsid w:val="00170F13"/>
    <w:rsid w:val="00173E33"/>
    <w:rsid w:val="001770F4"/>
    <w:rsid w:val="0018159E"/>
    <w:rsid w:val="00183DFA"/>
    <w:rsid w:val="00184463"/>
    <w:rsid w:val="0019694C"/>
    <w:rsid w:val="001A210D"/>
    <w:rsid w:val="001A2228"/>
    <w:rsid w:val="001A676A"/>
    <w:rsid w:val="001B0A01"/>
    <w:rsid w:val="001B17A5"/>
    <w:rsid w:val="001B26B3"/>
    <w:rsid w:val="001B301E"/>
    <w:rsid w:val="001B6243"/>
    <w:rsid w:val="001C1B00"/>
    <w:rsid w:val="001C34DE"/>
    <w:rsid w:val="001D10C6"/>
    <w:rsid w:val="001D28F3"/>
    <w:rsid w:val="001E09EB"/>
    <w:rsid w:val="001E17FE"/>
    <w:rsid w:val="001E3D29"/>
    <w:rsid w:val="001F0BBF"/>
    <w:rsid w:val="001F19A1"/>
    <w:rsid w:val="001F5F0D"/>
    <w:rsid w:val="001F626E"/>
    <w:rsid w:val="001F681C"/>
    <w:rsid w:val="001F7401"/>
    <w:rsid w:val="002004BE"/>
    <w:rsid w:val="00213F77"/>
    <w:rsid w:val="00215BE8"/>
    <w:rsid w:val="00217548"/>
    <w:rsid w:val="00217C0F"/>
    <w:rsid w:val="00235072"/>
    <w:rsid w:val="002359AD"/>
    <w:rsid w:val="0023641D"/>
    <w:rsid w:val="00236DE9"/>
    <w:rsid w:val="00245488"/>
    <w:rsid w:val="00246BC8"/>
    <w:rsid w:val="002559D1"/>
    <w:rsid w:val="0025696C"/>
    <w:rsid w:val="00261316"/>
    <w:rsid w:val="00261D39"/>
    <w:rsid w:val="0026343D"/>
    <w:rsid w:val="002655CC"/>
    <w:rsid w:val="00266665"/>
    <w:rsid w:val="00270081"/>
    <w:rsid w:val="00270785"/>
    <w:rsid w:val="00276AB1"/>
    <w:rsid w:val="00276E3D"/>
    <w:rsid w:val="0027760B"/>
    <w:rsid w:val="00286C7F"/>
    <w:rsid w:val="00287810"/>
    <w:rsid w:val="00290206"/>
    <w:rsid w:val="00291044"/>
    <w:rsid w:val="00291BD7"/>
    <w:rsid w:val="002929C7"/>
    <w:rsid w:val="00293A8A"/>
    <w:rsid w:val="002A1A50"/>
    <w:rsid w:val="002A2B1F"/>
    <w:rsid w:val="002A6EC5"/>
    <w:rsid w:val="002B27F9"/>
    <w:rsid w:val="002C3721"/>
    <w:rsid w:val="002D556E"/>
    <w:rsid w:val="002D5A4E"/>
    <w:rsid w:val="002E08E9"/>
    <w:rsid w:val="002E2520"/>
    <w:rsid w:val="002E425F"/>
    <w:rsid w:val="002E6BCC"/>
    <w:rsid w:val="002F1436"/>
    <w:rsid w:val="002F740F"/>
    <w:rsid w:val="00301E1F"/>
    <w:rsid w:val="00303650"/>
    <w:rsid w:val="00303F33"/>
    <w:rsid w:val="0030451E"/>
    <w:rsid w:val="003057AB"/>
    <w:rsid w:val="00316422"/>
    <w:rsid w:val="00325AD4"/>
    <w:rsid w:val="00326F57"/>
    <w:rsid w:val="00327911"/>
    <w:rsid w:val="003316E7"/>
    <w:rsid w:val="003325C7"/>
    <w:rsid w:val="00335977"/>
    <w:rsid w:val="003370B9"/>
    <w:rsid w:val="003375B3"/>
    <w:rsid w:val="00337D8E"/>
    <w:rsid w:val="00341C81"/>
    <w:rsid w:val="00342925"/>
    <w:rsid w:val="0034297D"/>
    <w:rsid w:val="003458EF"/>
    <w:rsid w:val="00347E7C"/>
    <w:rsid w:val="003517BB"/>
    <w:rsid w:val="003532A1"/>
    <w:rsid w:val="00353AE2"/>
    <w:rsid w:val="00361733"/>
    <w:rsid w:val="003626B6"/>
    <w:rsid w:val="00362A9B"/>
    <w:rsid w:val="003639D4"/>
    <w:rsid w:val="0036545A"/>
    <w:rsid w:val="0037685E"/>
    <w:rsid w:val="003778DA"/>
    <w:rsid w:val="00383BDF"/>
    <w:rsid w:val="00385345"/>
    <w:rsid w:val="00387832"/>
    <w:rsid w:val="00387FE5"/>
    <w:rsid w:val="00391804"/>
    <w:rsid w:val="003943B2"/>
    <w:rsid w:val="00395392"/>
    <w:rsid w:val="00397030"/>
    <w:rsid w:val="003A02C0"/>
    <w:rsid w:val="003A4208"/>
    <w:rsid w:val="003A68B7"/>
    <w:rsid w:val="003B1D5A"/>
    <w:rsid w:val="003B2435"/>
    <w:rsid w:val="003B46EB"/>
    <w:rsid w:val="003B4F04"/>
    <w:rsid w:val="003C1CB4"/>
    <w:rsid w:val="003D0AD6"/>
    <w:rsid w:val="003D3716"/>
    <w:rsid w:val="003D4183"/>
    <w:rsid w:val="003E154A"/>
    <w:rsid w:val="003E3649"/>
    <w:rsid w:val="003E3A61"/>
    <w:rsid w:val="003E3AE5"/>
    <w:rsid w:val="003E641E"/>
    <w:rsid w:val="003F27D2"/>
    <w:rsid w:val="003F2BC2"/>
    <w:rsid w:val="003F70B9"/>
    <w:rsid w:val="00400827"/>
    <w:rsid w:val="00400C31"/>
    <w:rsid w:val="004030F8"/>
    <w:rsid w:val="0041040A"/>
    <w:rsid w:val="004115B0"/>
    <w:rsid w:val="00413EBB"/>
    <w:rsid w:val="00415437"/>
    <w:rsid w:val="0041584E"/>
    <w:rsid w:val="0042066A"/>
    <w:rsid w:val="00424D91"/>
    <w:rsid w:val="004267A2"/>
    <w:rsid w:val="00426D56"/>
    <w:rsid w:val="00431FE3"/>
    <w:rsid w:val="0043288F"/>
    <w:rsid w:val="00436BFF"/>
    <w:rsid w:val="0043702F"/>
    <w:rsid w:val="004370D8"/>
    <w:rsid w:val="00441150"/>
    <w:rsid w:val="0044402D"/>
    <w:rsid w:val="00444FFD"/>
    <w:rsid w:val="004468C5"/>
    <w:rsid w:val="00446E60"/>
    <w:rsid w:val="004544C0"/>
    <w:rsid w:val="004648BC"/>
    <w:rsid w:val="00464F0B"/>
    <w:rsid w:val="00466DB1"/>
    <w:rsid w:val="00472A5B"/>
    <w:rsid w:val="0048085D"/>
    <w:rsid w:val="00481D5B"/>
    <w:rsid w:val="004820D6"/>
    <w:rsid w:val="0048730B"/>
    <w:rsid w:val="00487645"/>
    <w:rsid w:val="00487FCC"/>
    <w:rsid w:val="0049072B"/>
    <w:rsid w:val="00493EF4"/>
    <w:rsid w:val="00494DBB"/>
    <w:rsid w:val="0049501E"/>
    <w:rsid w:val="004968E5"/>
    <w:rsid w:val="004A3EFA"/>
    <w:rsid w:val="004B0335"/>
    <w:rsid w:val="004B619D"/>
    <w:rsid w:val="004C1ED8"/>
    <w:rsid w:val="004C63E0"/>
    <w:rsid w:val="004D0188"/>
    <w:rsid w:val="004D3199"/>
    <w:rsid w:val="004D34E6"/>
    <w:rsid w:val="004D6EB5"/>
    <w:rsid w:val="004E0786"/>
    <w:rsid w:val="004E185D"/>
    <w:rsid w:val="004E29A6"/>
    <w:rsid w:val="004F246A"/>
    <w:rsid w:val="004F2A83"/>
    <w:rsid w:val="004F2DFD"/>
    <w:rsid w:val="00502DBB"/>
    <w:rsid w:val="0050570D"/>
    <w:rsid w:val="00506DE9"/>
    <w:rsid w:val="00510021"/>
    <w:rsid w:val="005103F6"/>
    <w:rsid w:val="00511E8F"/>
    <w:rsid w:val="0051267E"/>
    <w:rsid w:val="00514DA8"/>
    <w:rsid w:val="00515E60"/>
    <w:rsid w:val="005207E3"/>
    <w:rsid w:val="0052271B"/>
    <w:rsid w:val="00522DC1"/>
    <w:rsid w:val="00522EC5"/>
    <w:rsid w:val="005303F3"/>
    <w:rsid w:val="00535CAD"/>
    <w:rsid w:val="005435E1"/>
    <w:rsid w:val="0054665F"/>
    <w:rsid w:val="00552E8B"/>
    <w:rsid w:val="00557E34"/>
    <w:rsid w:val="0056053D"/>
    <w:rsid w:val="00566F4E"/>
    <w:rsid w:val="00567291"/>
    <w:rsid w:val="005730AB"/>
    <w:rsid w:val="00573B2A"/>
    <w:rsid w:val="00575735"/>
    <w:rsid w:val="005774E8"/>
    <w:rsid w:val="00581012"/>
    <w:rsid w:val="005827D7"/>
    <w:rsid w:val="00593958"/>
    <w:rsid w:val="0059398D"/>
    <w:rsid w:val="0059642D"/>
    <w:rsid w:val="005967EA"/>
    <w:rsid w:val="005A7E26"/>
    <w:rsid w:val="005B2EF7"/>
    <w:rsid w:val="005B61C8"/>
    <w:rsid w:val="005B6A48"/>
    <w:rsid w:val="005C3EEE"/>
    <w:rsid w:val="005C5152"/>
    <w:rsid w:val="005C6584"/>
    <w:rsid w:val="005D1D5F"/>
    <w:rsid w:val="005D22E0"/>
    <w:rsid w:val="005D3388"/>
    <w:rsid w:val="005D42BE"/>
    <w:rsid w:val="005D44C0"/>
    <w:rsid w:val="005D5515"/>
    <w:rsid w:val="005D76D8"/>
    <w:rsid w:val="005E1E6C"/>
    <w:rsid w:val="006004F5"/>
    <w:rsid w:val="00600818"/>
    <w:rsid w:val="00600F51"/>
    <w:rsid w:val="00607D6B"/>
    <w:rsid w:val="00610AB5"/>
    <w:rsid w:val="00616D70"/>
    <w:rsid w:val="00622833"/>
    <w:rsid w:val="00623521"/>
    <w:rsid w:val="006253CC"/>
    <w:rsid w:val="00626355"/>
    <w:rsid w:val="00631E76"/>
    <w:rsid w:val="00632A47"/>
    <w:rsid w:val="00634710"/>
    <w:rsid w:val="00634CAC"/>
    <w:rsid w:val="006350E4"/>
    <w:rsid w:val="00635C43"/>
    <w:rsid w:val="00635FFD"/>
    <w:rsid w:val="00637566"/>
    <w:rsid w:val="006414A5"/>
    <w:rsid w:val="0064379A"/>
    <w:rsid w:val="00645CB2"/>
    <w:rsid w:val="006463DF"/>
    <w:rsid w:val="00651497"/>
    <w:rsid w:val="00652083"/>
    <w:rsid w:val="00653592"/>
    <w:rsid w:val="006545B6"/>
    <w:rsid w:val="00655CCA"/>
    <w:rsid w:val="00660DCF"/>
    <w:rsid w:val="006624DB"/>
    <w:rsid w:val="00671CD3"/>
    <w:rsid w:val="0068112E"/>
    <w:rsid w:val="006825C1"/>
    <w:rsid w:val="00691CFF"/>
    <w:rsid w:val="00692627"/>
    <w:rsid w:val="00693824"/>
    <w:rsid w:val="00694E43"/>
    <w:rsid w:val="0069526B"/>
    <w:rsid w:val="00695ED8"/>
    <w:rsid w:val="006975E4"/>
    <w:rsid w:val="006B2ED1"/>
    <w:rsid w:val="006B7A8D"/>
    <w:rsid w:val="006C0BDA"/>
    <w:rsid w:val="006C12C0"/>
    <w:rsid w:val="006C12E6"/>
    <w:rsid w:val="006C47F8"/>
    <w:rsid w:val="006C6D9B"/>
    <w:rsid w:val="006D2170"/>
    <w:rsid w:val="006D3743"/>
    <w:rsid w:val="006D4C41"/>
    <w:rsid w:val="006D5005"/>
    <w:rsid w:val="006D7B74"/>
    <w:rsid w:val="006E024E"/>
    <w:rsid w:val="006E6120"/>
    <w:rsid w:val="006F0612"/>
    <w:rsid w:val="006F50B2"/>
    <w:rsid w:val="006F5B70"/>
    <w:rsid w:val="00700130"/>
    <w:rsid w:val="00710BEA"/>
    <w:rsid w:val="007112D2"/>
    <w:rsid w:val="007123DE"/>
    <w:rsid w:val="007152B8"/>
    <w:rsid w:val="00723D84"/>
    <w:rsid w:val="007263D4"/>
    <w:rsid w:val="00730E3B"/>
    <w:rsid w:val="00746991"/>
    <w:rsid w:val="0074767F"/>
    <w:rsid w:val="00747F97"/>
    <w:rsid w:val="0075123C"/>
    <w:rsid w:val="00754047"/>
    <w:rsid w:val="007541CE"/>
    <w:rsid w:val="007564D3"/>
    <w:rsid w:val="00757B05"/>
    <w:rsid w:val="00763F3F"/>
    <w:rsid w:val="007670CC"/>
    <w:rsid w:val="00767F36"/>
    <w:rsid w:val="0077647F"/>
    <w:rsid w:val="00780352"/>
    <w:rsid w:val="00781556"/>
    <w:rsid w:val="007822F3"/>
    <w:rsid w:val="007A11FD"/>
    <w:rsid w:val="007A275A"/>
    <w:rsid w:val="007A5D79"/>
    <w:rsid w:val="007A736C"/>
    <w:rsid w:val="007A7655"/>
    <w:rsid w:val="007B626F"/>
    <w:rsid w:val="007B69D3"/>
    <w:rsid w:val="007C310B"/>
    <w:rsid w:val="007C4CEF"/>
    <w:rsid w:val="007C5777"/>
    <w:rsid w:val="007C5EFA"/>
    <w:rsid w:val="007D08C9"/>
    <w:rsid w:val="007D123C"/>
    <w:rsid w:val="007D1F35"/>
    <w:rsid w:val="007D2466"/>
    <w:rsid w:val="007D4153"/>
    <w:rsid w:val="007D6D78"/>
    <w:rsid w:val="007D76B7"/>
    <w:rsid w:val="007E3557"/>
    <w:rsid w:val="007E4461"/>
    <w:rsid w:val="007E5DBB"/>
    <w:rsid w:val="007E6C8F"/>
    <w:rsid w:val="007F178F"/>
    <w:rsid w:val="007F7A6F"/>
    <w:rsid w:val="00804402"/>
    <w:rsid w:val="0080601D"/>
    <w:rsid w:val="00813AF4"/>
    <w:rsid w:val="00813EFB"/>
    <w:rsid w:val="00816208"/>
    <w:rsid w:val="008225F5"/>
    <w:rsid w:val="008341E2"/>
    <w:rsid w:val="00834E52"/>
    <w:rsid w:val="00844A9E"/>
    <w:rsid w:val="00845370"/>
    <w:rsid w:val="00850EB6"/>
    <w:rsid w:val="00857DBD"/>
    <w:rsid w:val="00867B86"/>
    <w:rsid w:val="008774A6"/>
    <w:rsid w:val="0088071B"/>
    <w:rsid w:val="00882D4C"/>
    <w:rsid w:val="00886FC9"/>
    <w:rsid w:val="00890643"/>
    <w:rsid w:val="0089197B"/>
    <w:rsid w:val="00892C50"/>
    <w:rsid w:val="00893899"/>
    <w:rsid w:val="008963D6"/>
    <w:rsid w:val="008A1D6C"/>
    <w:rsid w:val="008A508C"/>
    <w:rsid w:val="008B20BE"/>
    <w:rsid w:val="008B3E42"/>
    <w:rsid w:val="008C4E6E"/>
    <w:rsid w:val="008D0B50"/>
    <w:rsid w:val="008D2171"/>
    <w:rsid w:val="008D37A7"/>
    <w:rsid w:val="008D4DC8"/>
    <w:rsid w:val="008D6F30"/>
    <w:rsid w:val="008E7273"/>
    <w:rsid w:val="008F1C56"/>
    <w:rsid w:val="008F2BE2"/>
    <w:rsid w:val="008F6FD6"/>
    <w:rsid w:val="00902012"/>
    <w:rsid w:val="00905D2B"/>
    <w:rsid w:val="0090711C"/>
    <w:rsid w:val="00907D3F"/>
    <w:rsid w:val="00907F7E"/>
    <w:rsid w:val="00913D52"/>
    <w:rsid w:val="009217AE"/>
    <w:rsid w:val="0092213D"/>
    <w:rsid w:val="009369DF"/>
    <w:rsid w:val="00940F0B"/>
    <w:rsid w:val="00941648"/>
    <w:rsid w:val="00950F0B"/>
    <w:rsid w:val="009516D7"/>
    <w:rsid w:val="00951E46"/>
    <w:rsid w:val="009577BF"/>
    <w:rsid w:val="00963418"/>
    <w:rsid w:val="00964473"/>
    <w:rsid w:val="009650C5"/>
    <w:rsid w:val="00966D11"/>
    <w:rsid w:val="00972986"/>
    <w:rsid w:val="00973C69"/>
    <w:rsid w:val="009812EB"/>
    <w:rsid w:val="00982D87"/>
    <w:rsid w:val="00983929"/>
    <w:rsid w:val="00985D1B"/>
    <w:rsid w:val="00987169"/>
    <w:rsid w:val="009912ED"/>
    <w:rsid w:val="00996759"/>
    <w:rsid w:val="009978A3"/>
    <w:rsid w:val="009A0D38"/>
    <w:rsid w:val="009A5472"/>
    <w:rsid w:val="009B1FE5"/>
    <w:rsid w:val="009B44FE"/>
    <w:rsid w:val="009C5A6B"/>
    <w:rsid w:val="009E084B"/>
    <w:rsid w:val="009E4827"/>
    <w:rsid w:val="009F2CAC"/>
    <w:rsid w:val="009F3EE7"/>
    <w:rsid w:val="00A04CD5"/>
    <w:rsid w:val="00A17ACF"/>
    <w:rsid w:val="00A213E3"/>
    <w:rsid w:val="00A22B4A"/>
    <w:rsid w:val="00A24236"/>
    <w:rsid w:val="00A2489D"/>
    <w:rsid w:val="00A32075"/>
    <w:rsid w:val="00A32480"/>
    <w:rsid w:val="00A37A07"/>
    <w:rsid w:val="00A450DB"/>
    <w:rsid w:val="00A45C59"/>
    <w:rsid w:val="00A5273E"/>
    <w:rsid w:val="00A54818"/>
    <w:rsid w:val="00A55748"/>
    <w:rsid w:val="00A56827"/>
    <w:rsid w:val="00A569C7"/>
    <w:rsid w:val="00A61FF1"/>
    <w:rsid w:val="00A6434A"/>
    <w:rsid w:val="00A765E4"/>
    <w:rsid w:val="00A81DFD"/>
    <w:rsid w:val="00A831CF"/>
    <w:rsid w:val="00A84866"/>
    <w:rsid w:val="00A87852"/>
    <w:rsid w:val="00A901B5"/>
    <w:rsid w:val="00A91728"/>
    <w:rsid w:val="00A94646"/>
    <w:rsid w:val="00A94BC5"/>
    <w:rsid w:val="00A96E83"/>
    <w:rsid w:val="00AA45A2"/>
    <w:rsid w:val="00AA705B"/>
    <w:rsid w:val="00AB5474"/>
    <w:rsid w:val="00AC09B4"/>
    <w:rsid w:val="00AC4E5A"/>
    <w:rsid w:val="00AD352B"/>
    <w:rsid w:val="00AD5FD6"/>
    <w:rsid w:val="00AE2D37"/>
    <w:rsid w:val="00AE4E48"/>
    <w:rsid w:val="00AF046E"/>
    <w:rsid w:val="00AF0899"/>
    <w:rsid w:val="00AF089B"/>
    <w:rsid w:val="00AF1C80"/>
    <w:rsid w:val="00AF2DAA"/>
    <w:rsid w:val="00AF4127"/>
    <w:rsid w:val="00AF5855"/>
    <w:rsid w:val="00AF66B1"/>
    <w:rsid w:val="00B051B2"/>
    <w:rsid w:val="00B1031A"/>
    <w:rsid w:val="00B10B01"/>
    <w:rsid w:val="00B122CD"/>
    <w:rsid w:val="00B17F81"/>
    <w:rsid w:val="00B20A99"/>
    <w:rsid w:val="00B21787"/>
    <w:rsid w:val="00B21E3B"/>
    <w:rsid w:val="00B30863"/>
    <w:rsid w:val="00B333F7"/>
    <w:rsid w:val="00B3567B"/>
    <w:rsid w:val="00B420B9"/>
    <w:rsid w:val="00B51EF7"/>
    <w:rsid w:val="00B70AD4"/>
    <w:rsid w:val="00B70F86"/>
    <w:rsid w:val="00B71169"/>
    <w:rsid w:val="00B719FB"/>
    <w:rsid w:val="00B81AF9"/>
    <w:rsid w:val="00B907D0"/>
    <w:rsid w:val="00B90A60"/>
    <w:rsid w:val="00B92690"/>
    <w:rsid w:val="00B9655A"/>
    <w:rsid w:val="00BA2045"/>
    <w:rsid w:val="00BA29E7"/>
    <w:rsid w:val="00BA6C64"/>
    <w:rsid w:val="00BB35FD"/>
    <w:rsid w:val="00BB3700"/>
    <w:rsid w:val="00BB5B27"/>
    <w:rsid w:val="00BB5C6D"/>
    <w:rsid w:val="00BC784B"/>
    <w:rsid w:val="00BC7FBB"/>
    <w:rsid w:val="00BE1FB6"/>
    <w:rsid w:val="00BE26EA"/>
    <w:rsid w:val="00BE2850"/>
    <w:rsid w:val="00BE41BB"/>
    <w:rsid w:val="00BE53F6"/>
    <w:rsid w:val="00BE74FD"/>
    <w:rsid w:val="00BF1879"/>
    <w:rsid w:val="00BF4AD5"/>
    <w:rsid w:val="00BF78EF"/>
    <w:rsid w:val="00C02CC2"/>
    <w:rsid w:val="00C03CFA"/>
    <w:rsid w:val="00C14F47"/>
    <w:rsid w:val="00C20656"/>
    <w:rsid w:val="00C241B0"/>
    <w:rsid w:val="00C2604E"/>
    <w:rsid w:val="00C2753B"/>
    <w:rsid w:val="00C30605"/>
    <w:rsid w:val="00C33C91"/>
    <w:rsid w:val="00C42326"/>
    <w:rsid w:val="00C47149"/>
    <w:rsid w:val="00C53799"/>
    <w:rsid w:val="00C613FF"/>
    <w:rsid w:val="00C61D85"/>
    <w:rsid w:val="00C6330C"/>
    <w:rsid w:val="00C63724"/>
    <w:rsid w:val="00C661D0"/>
    <w:rsid w:val="00C7389F"/>
    <w:rsid w:val="00C75659"/>
    <w:rsid w:val="00C81157"/>
    <w:rsid w:val="00C906D3"/>
    <w:rsid w:val="00C91A97"/>
    <w:rsid w:val="00C94837"/>
    <w:rsid w:val="00C960FC"/>
    <w:rsid w:val="00CA00C2"/>
    <w:rsid w:val="00CA4225"/>
    <w:rsid w:val="00CA46B2"/>
    <w:rsid w:val="00CA6AE5"/>
    <w:rsid w:val="00CB5DD2"/>
    <w:rsid w:val="00CB7211"/>
    <w:rsid w:val="00CC0198"/>
    <w:rsid w:val="00CC18C9"/>
    <w:rsid w:val="00CC3FE5"/>
    <w:rsid w:val="00CC544A"/>
    <w:rsid w:val="00CD3238"/>
    <w:rsid w:val="00CD5DE0"/>
    <w:rsid w:val="00CE029D"/>
    <w:rsid w:val="00CE2435"/>
    <w:rsid w:val="00CE290B"/>
    <w:rsid w:val="00CE4002"/>
    <w:rsid w:val="00CF4195"/>
    <w:rsid w:val="00CF7892"/>
    <w:rsid w:val="00D00E24"/>
    <w:rsid w:val="00D04DFA"/>
    <w:rsid w:val="00D065FA"/>
    <w:rsid w:val="00D12A99"/>
    <w:rsid w:val="00D176B3"/>
    <w:rsid w:val="00D20625"/>
    <w:rsid w:val="00D220F5"/>
    <w:rsid w:val="00D32CA3"/>
    <w:rsid w:val="00D501A7"/>
    <w:rsid w:val="00D52578"/>
    <w:rsid w:val="00D60546"/>
    <w:rsid w:val="00D61E09"/>
    <w:rsid w:val="00D61E96"/>
    <w:rsid w:val="00D6463F"/>
    <w:rsid w:val="00D7271D"/>
    <w:rsid w:val="00D72E12"/>
    <w:rsid w:val="00D73DF1"/>
    <w:rsid w:val="00D73FD3"/>
    <w:rsid w:val="00D776C8"/>
    <w:rsid w:val="00D809E9"/>
    <w:rsid w:val="00D84116"/>
    <w:rsid w:val="00D850F2"/>
    <w:rsid w:val="00D865FD"/>
    <w:rsid w:val="00D903AE"/>
    <w:rsid w:val="00D904DF"/>
    <w:rsid w:val="00D93D6C"/>
    <w:rsid w:val="00DA3C02"/>
    <w:rsid w:val="00DA59EB"/>
    <w:rsid w:val="00DB2E13"/>
    <w:rsid w:val="00DB5583"/>
    <w:rsid w:val="00DB6837"/>
    <w:rsid w:val="00DC158A"/>
    <w:rsid w:val="00DC2088"/>
    <w:rsid w:val="00DC2229"/>
    <w:rsid w:val="00DC4B29"/>
    <w:rsid w:val="00DD2F98"/>
    <w:rsid w:val="00DD5A51"/>
    <w:rsid w:val="00DD7DAC"/>
    <w:rsid w:val="00DE07CA"/>
    <w:rsid w:val="00DE0C99"/>
    <w:rsid w:val="00DE49BA"/>
    <w:rsid w:val="00DE7418"/>
    <w:rsid w:val="00DF1FEC"/>
    <w:rsid w:val="00DF26B4"/>
    <w:rsid w:val="00DF6B45"/>
    <w:rsid w:val="00E0484B"/>
    <w:rsid w:val="00E06BE0"/>
    <w:rsid w:val="00E071EC"/>
    <w:rsid w:val="00E14F69"/>
    <w:rsid w:val="00E1589A"/>
    <w:rsid w:val="00E16CE3"/>
    <w:rsid w:val="00E2473C"/>
    <w:rsid w:val="00E24B33"/>
    <w:rsid w:val="00E31418"/>
    <w:rsid w:val="00E342E8"/>
    <w:rsid w:val="00E37054"/>
    <w:rsid w:val="00E4205D"/>
    <w:rsid w:val="00E43153"/>
    <w:rsid w:val="00E45CC8"/>
    <w:rsid w:val="00E54695"/>
    <w:rsid w:val="00E625EE"/>
    <w:rsid w:val="00E65484"/>
    <w:rsid w:val="00E660C5"/>
    <w:rsid w:val="00E77196"/>
    <w:rsid w:val="00E85497"/>
    <w:rsid w:val="00E94F4D"/>
    <w:rsid w:val="00EA6954"/>
    <w:rsid w:val="00EB2A3F"/>
    <w:rsid w:val="00EB39B6"/>
    <w:rsid w:val="00EB7A01"/>
    <w:rsid w:val="00EC1FD5"/>
    <w:rsid w:val="00EC572E"/>
    <w:rsid w:val="00EC6986"/>
    <w:rsid w:val="00EC705C"/>
    <w:rsid w:val="00EE3988"/>
    <w:rsid w:val="00EE4218"/>
    <w:rsid w:val="00EE73C6"/>
    <w:rsid w:val="00EE7453"/>
    <w:rsid w:val="00EF364B"/>
    <w:rsid w:val="00EF3BAF"/>
    <w:rsid w:val="00F0192F"/>
    <w:rsid w:val="00F02EBE"/>
    <w:rsid w:val="00F046D3"/>
    <w:rsid w:val="00F052DC"/>
    <w:rsid w:val="00F060E5"/>
    <w:rsid w:val="00F07030"/>
    <w:rsid w:val="00F12BA5"/>
    <w:rsid w:val="00F134EB"/>
    <w:rsid w:val="00F16C0F"/>
    <w:rsid w:val="00F16F33"/>
    <w:rsid w:val="00F2688D"/>
    <w:rsid w:val="00F30DF4"/>
    <w:rsid w:val="00F33778"/>
    <w:rsid w:val="00F42047"/>
    <w:rsid w:val="00F44BF7"/>
    <w:rsid w:val="00F549C9"/>
    <w:rsid w:val="00F60571"/>
    <w:rsid w:val="00F61930"/>
    <w:rsid w:val="00F61DAE"/>
    <w:rsid w:val="00F66A7E"/>
    <w:rsid w:val="00F66DDF"/>
    <w:rsid w:val="00F66EF6"/>
    <w:rsid w:val="00F71435"/>
    <w:rsid w:val="00F7474E"/>
    <w:rsid w:val="00F7767D"/>
    <w:rsid w:val="00F77A1B"/>
    <w:rsid w:val="00F8183E"/>
    <w:rsid w:val="00F943D3"/>
    <w:rsid w:val="00FA02E3"/>
    <w:rsid w:val="00FA08DF"/>
    <w:rsid w:val="00FA0C9F"/>
    <w:rsid w:val="00FA3390"/>
    <w:rsid w:val="00FB1F20"/>
    <w:rsid w:val="00FB414E"/>
    <w:rsid w:val="00FC6426"/>
    <w:rsid w:val="00FC7F9E"/>
    <w:rsid w:val="00FD745F"/>
    <w:rsid w:val="00FD7EE8"/>
    <w:rsid w:val="00FE0AE8"/>
    <w:rsid w:val="00FE6EC7"/>
    <w:rsid w:val="00FE6FCF"/>
    <w:rsid w:val="00FE75BE"/>
    <w:rsid w:val="00FF326B"/>
    <w:rsid w:val="00FF6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F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2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24ED"/>
    <w:rPr>
      <w:sz w:val="20"/>
      <w:szCs w:val="20"/>
    </w:rPr>
  </w:style>
  <w:style w:type="character" w:styleId="Appelnotedebasdep">
    <w:name w:val="footnote reference"/>
    <w:basedOn w:val="Policepardfaut"/>
    <w:uiPriority w:val="99"/>
    <w:semiHidden/>
    <w:unhideWhenUsed/>
    <w:rsid w:val="000924ED"/>
    <w:rPr>
      <w:vertAlign w:val="superscript"/>
    </w:rPr>
  </w:style>
  <w:style w:type="paragraph" w:styleId="En-tte">
    <w:name w:val="header"/>
    <w:basedOn w:val="Normal"/>
    <w:link w:val="En-tteCar"/>
    <w:uiPriority w:val="99"/>
    <w:unhideWhenUsed/>
    <w:rsid w:val="00BA6C64"/>
    <w:pPr>
      <w:tabs>
        <w:tab w:val="center" w:pos="4536"/>
        <w:tab w:val="right" w:pos="9072"/>
      </w:tabs>
      <w:spacing w:after="0" w:line="240" w:lineRule="auto"/>
    </w:pPr>
  </w:style>
  <w:style w:type="character" w:customStyle="1" w:styleId="En-tteCar">
    <w:name w:val="En-tête Car"/>
    <w:basedOn w:val="Policepardfaut"/>
    <w:link w:val="En-tte"/>
    <w:uiPriority w:val="99"/>
    <w:rsid w:val="00BA6C64"/>
  </w:style>
  <w:style w:type="paragraph" w:styleId="Pieddepage">
    <w:name w:val="footer"/>
    <w:basedOn w:val="Normal"/>
    <w:link w:val="PieddepageCar"/>
    <w:uiPriority w:val="99"/>
    <w:unhideWhenUsed/>
    <w:rsid w:val="00BA6C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C64"/>
  </w:style>
  <w:style w:type="character" w:customStyle="1" w:styleId="sdfn1">
    <w:name w:val="s_dfn1"/>
    <w:basedOn w:val="Policepardfaut"/>
    <w:rsid w:val="00C241B0"/>
    <w:rPr>
      <w:b w:val="0"/>
      <w:bCs w:val="0"/>
      <w:i w:val="0"/>
      <w:iCs w:val="0"/>
      <w:color w:val="333399"/>
    </w:rPr>
  </w:style>
  <w:style w:type="character" w:customStyle="1" w:styleId="srvd1">
    <w:name w:val="s_rvd1"/>
    <w:basedOn w:val="Policepardfaut"/>
    <w:rsid w:val="00C241B0"/>
    <w:rPr>
      <w:rFonts w:ascii="Verdana" w:hAnsi="Verdana" w:hint="default"/>
      <w:b/>
      <w:bCs/>
      <w:i w:val="0"/>
      <w:iCs w:val="0"/>
      <w:color w:val="680368"/>
      <w:sz w:val="15"/>
      <w:szCs w:val="15"/>
    </w:rPr>
  </w:style>
  <w:style w:type="character" w:customStyle="1" w:styleId="sdfn">
    <w:name w:val="s_dfn"/>
    <w:basedOn w:val="Policepardfaut"/>
    <w:rsid w:val="00C241B0"/>
  </w:style>
  <w:style w:type="character" w:customStyle="1" w:styleId="srvd">
    <w:name w:val="s_rvd"/>
    <w:basedOn w:val="Policepardfaut"/>
    <w:rsid w:val="00C241B0"/>
  </w:style>
  <w:style w:type="character" w:customStyle="1" w:styleId="sarrd">
    <w:name w:val="s_arrd"/>
    <w:basedOn w:val="Policepardfaut"/>
    <w:rsid w:val="00C241B0"/>
  </w:style>
  <w:style w:type="character" w:customStyle="1" w:styleId="clickable">
    <w:name w:val="clickable"/>
    <w:basedOn w:val="Policepardfaut"/>
    <w:rsid w:val="00C241B0"/>
  </w:style>
  <w:style w:type="character" w:customStyle="1" w:styleId="sxpl">
    <w:name w:val="s_xpl"/>
    <w:basedOn w:val="Policepardfaut"/>
    <w:rsid w:val="00C241B0"/>
  </w:style>
  <w:style w:type="character" w:customStyle="1" w:styleId="smta">
    <w:name w:val="s_mta"/>
    <w:basedOn w:val="Policepardfaut"/>
    <w:rsid w:val="00C241B0"/>
  </w:style>
  <w:style w:type="character" w:customStyle="1" w:styleId="sgls">
    <w:name w:val="s_gls"/>
    <w:basedOn w:val="Policepardfaut"/>
    <w:rsid w:val="00C241B0"/>
  </w:style>
  <w:style w:type="paragraph" w:styleId="Paragraphedeliste">
    <w:name w:val="List Paragraph"/>
    <w:basedOn w:val="Normal"/>
    <w:uiPriority w:val="34"/>
    <w:qFormat/>
    <w:rsid w:val="00C14F47"/>
    <w:pPr>
      <w:ind w:left="720"/>
      <w:contextualSpacing/>
    </w:pPr>
  </w:style>
  <w:style w:type="paragraph" w:styleId="Sansinterligne">
    <w:name w:val="No Spacing"/>
    <w:uiPriority w:val="1"/>
    <w:qFormat/>
    <w:rsid w:val="000629B7"/>
    <w:pPr>
      <w:spacing w:after="0" w:line="240" w:lineRule="auto"/>
    </w:pPr>
  </w:style>
  <w:style w:type="character" w:styleId="Textedelespacerserv">
    <w:name w:val="Placeholder Text"/>
    <w:basedOn w:val="Policepardfaut"/>
    <w:uiPriority w:val="99"/>
    <w:semiHidden/>
    <w:rsid w:val="0050570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F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2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24ED"/>
    <w:rPr>
      <w:sz w:val="20"/>
      <w:szCs w:val="20"/>
    </w:rPr>
  </w:style>
  <w:style w:type="character" w:styleId="Appelnotedebasdep">
    <w:name w:val="footnote reference"/>
    <w:basedOn w:val="Policepardfaut"/>
    <w:uiPriority w:val="99"/>
    <w:semiHidden/>
    <w:unhideWhenUsed/>
    <w:rsid w:val="000924ED"/>
    <w:rPr>
      <w:vertAlign w:val="superscript"/>
    </w:rPr>
  </w:style>
  <w:style w:type="paragraph" w:styleId="En-tte">
    <w:name w:val="header"/>
    <w:basedOn w:val="Normal"/>
    <w:link w:val="En-tteCar"/>
    <w:uiPriority w:val="99"/>
    <w:unhideWhenUsed/>
    <w:rsid w:val="00BA6C64"/>
    <w:pPr>
      <w:tabs>
        <w:tab w:val="center" w:pos="4536"/>
        <w:tab w:val="right" w:pos="9072"/>
      </w:tabs>
      <w:spacing w:after="0" w:line="240" w:lineRule="auto"/>
    </w:pPr>
  </w:style>
  <w:style w:type="character" w:customStyle="1" w:styleId="En-tteCar">
    <w:name w:val="En-tête Car"/>
    <w:basedOn w:val="Policepardfaut"/>
    <w:link w:val="En-tte"/>
    <w:uiPriority w:val="99"/>
    <w:rsid w:val="00BA6C64"/>
  </w:style>
  <w:style w:type="paragraph" w:styleId="Pieddepage">
    <w:name w:val="footer"/>
    <w:basedOn w:val="Normal"/>
    <w:link w:val="PieddepageCar"/>
    <w:uiPriority w:val="99"/>
    <w:unhideWhenUsed/>
    <w:rsid w:val="00BA6C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C64"/>
  </w:style>
  <w:style w:type="character" w:customStyle="1" w:styleId="sdfn1">
    <w:name w:val="s_dfn1"/>
    <w:basedOn w:val="Policepardfaut"/>
    <w:rsid w:val="00C241B0"/>
    <w:rPr>
      <w:b w:val="0"/>
      <w:bCs w:val="0"/>
      <w:i w:val="0"/>
      <w:iCs w:val="0"/>
      <w:color w:val="333399"/>
    </w:rPr>
  </w:style>
  <w:style w:type="character" w:customStyle="1" w:styleId="srvd1">
    <w:name w:val="s_rvd1"/>
    <w:basedOn w:val="Policepardfaut"/>
    <w:rsid w:val="00C241B0"/>
    <w:rPr>
      <w:rFonts w:ascii="Verdana" w:hAnsi="Verdana" w:hint="default"/>
      <w:b/>
      <w:bCs/>
      <w:i w:val="0"/>
      <w:iCs w:val="0"/>
      <w:color w:val="680368"/>
      <w:sz w:val="15"/>
      <w:szCs w:val="15"/>
    </w:rPr>
  </w:style>
  <w:style w:type="character" w:customStyle="1" w:styleId="sdfn">
    <w:name w:val="s_dfn"/>
    <w:basedOn w:val="Policepardfaut"/>
    <w:rsid w:val="00C241B0"/>
  </w:style>
  <w:style w:type="character" w:customStyle="1" w:styleId="srvd">
    <w:name w:val="s_rvd"/>
    <w:basedOn w:val="Policepardfaut"/>
    <w:rsid w:val="00C241B0"/>
  </w:style>
  <w:style w:type="character" w:customStyle="1" w:styleId="sarrd">
    <w:name w:val="s_arrd"/>
    <w:basedOn w:val="Policepardfaut"/>
    <w:rsid w:val="00C241B0"/>
  </w:style>
  <w:style w:type="character" w:customStyle="1" w:styleId="clickable">
    <w:name w:val="clickable"/>
    <w:basedOn w:val="Policepardfaut"/>
    <w:rsid w:val="00C241B0"/>
  </w:style>
  <w:style w:type="character" w:customStyle="1" w:styleId="sxpl">
    <w:name w:val="s_xpl"/>
    <w:basedOn w:val="Policepardfaut"/>
    <w:rsid w:val="00C241B0"/>
  </w:style>
  <w:style w:type="character" w:customStyle="1" w:styleId="smta">
    <w:name w:val="s_mta"/>
    <w:basedOn w:val="Policepardfaut"/>
    <w:rsid w:val="00C241B0"/>
  </w:style>
  <w:style w:type="character" w:customStyle="1" w:styleId="sgls">
    <w:name w:val="s_gls"/>
    <w:basedOn w:val="Policepardfaut"/>
    <w:rsid w:val="00C241B0"/>
  </w:style>
  <w:style w:type="paragraph" w:styleId="Paragraphedeliste">
    <w:name w:val="List Paragraph"/>
    <w:basedOn w:val="Normal"/>
    <w:uiPriority w:val="34"/>
    <w:qFormat/>
    <w:rsid w:val="00C14F47"/>
    <w:pPr>
      <w:ind w:left="720"/>
      <w:contextualSpacing/>
    </w:pPr>
  </w:style>
  <w:style w:type="paragraph" w:styleId="Sansinterligne">
    <w:name w:val="No Spacing"/>
    <w:uiPriority w:val="1"/>
    <w:qFormat/>
    <w:rsid w:val="000629B7"/>
    <w:pPr>
      <w:spacing w:after="0" w:line="240" w:lineRule="auto"/>
    </w:pPr>
  </w:style>
  <w:style w:type="character" w:styleId="Textedelespacerserv">
    <w:name w:val="Placeholder Text"/>
    <w:basedOn w:val="Policepardfaut"/>
    <w:uiPriority w:val="99"/>
    <w:semiHidden/>
    <w:rsid w:val="005057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B3B1-81A3-4FB7-9ACC-3426943B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5703</Words>
  <Characters>31371</Characters>
  <Application>Microsoft Office Word</Application>
  <DocSecurity>0</DocSecurity>
  <Lines>261</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G.S.I</cp:lastModifiedBy>
  <cp:revision>2</cp:revision>
  <dcterms:created xsi:type="dcterms:W3CDTF">2025-11-15T19:03:00Z</dcterms:created>
  <dcterms:modified xsi:type="dcterms:W3CDTF">2025-11-15T19:03:00Z</dcterms:modified>
</cp:coreProperties>
</file>