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98D0" w14:textId="77777777" w:rsidR="00550E1D" w:rsidRDefault="00550E1D" w:rsidP="00550E1D">
      <w:pPr>
        <w:spacing w:after="0" w:line="240" w:lineRule="auto"/>
        <w:rPr>
          <w:rFonts w:ascii="Times New Roman" w:eastAsia="Times New Roman" w:hAnsi="Times New Roman" w:cs="Times New Roman"/>
          <w:i/>
          <w:iCs/>
          <w:kern w:val="0"/>
          <w14:ligatures w14:val="none"/>
        </w:rPr>
      </w:pPr>
      <w:r w:rsidRPr="00D94C2A">
        <w:rPr>
          <w:rFonts w:ascii="Times New Roman" w:eastAsia="Times New Roman" w:hAnsi="Times New Roman" w:cs="Times New Roman"/>
          <w:b/>
          <w:bCs/>
          <w:kern w:val="0"/>
          <w14:ligatures w14:val="none"/>
        </w:rPr>
        <w:t>Title:</w:t>
      </w:r>
      <w:r w:rsidRPr="00D94C2A">
        <w:rPr>
          <w:rFonts w:ascii="Times New Roman" w:eastAsia="Times New Roman" w:hAnsi="Times New Roman" w:cs="Times New Roman"/>
          <w:kern w:val="0"/>
          <w14:ligatures w14:val="none"/>
        </w:rPr>
        <w:t xml:space="preserve"> </w:t>
      </w:r>
      <w:r w:rsidRPr="00D94C2A">
        <w:rPr>
          <w:rFonts w:ascii="Times New Roman" w:eastAsia="Times New Roman" w:hAnsi="Times New Roman" w:cs="Times New Roman"/>
          <w:i/>
          <w:iCs/>
          <w:kern w:val="0"/>
          <w14:ligatures w14:val="none"/>
        </w:rPr>
        <w:t>Bridging the Gap: Women’s Land Rights as a Pathway to Climate-Resilient Governance in Senegal</w:t>
      </w:r>
    </w:p>
    <w:p w14:paraId="5D0FFD6B" w14:textId="77777777" w:rsidR="00550E1D" w:rsidRPr="0055035A" w:rsidRDefault="00550E1D" w:rsidP="00550E1D">
      <w:pPr>
        <w:spacing w:after="0" w:line="240" w:lineRule="auto"/>
        <w:rPr>
          <w:rFonts w:ascii="Times New Roman" w:eastAsia="Times New Roman" w:hAnsi="Times New Roman" w:cs="Times New Roman"/>
          <w:i/>
          <w:iCs/>
          <w:kern w:val="0"/>
          <w14:ligatures w14:val="none"/>
        </w:rPr>
      </w:pPr>
    </w:p>
    <w:p w14:paraId="2888BB4D" w14:textId="77777777" w:rsidR="00D94C2A" w:rsidRDefault="00D94C2A" w:rsidP="00550E1D">
      <w:pPr>
        <w:spacing w:after="0" w:line="240" w:lineRule="auto"/>
        <w:jc w:val="center"/>
        <w:outlineLvl w:val="1"/>
        <w:rPr>
          <w:rFonts w:ascii="Times New Roman" w:eastAsia="Times New Roman" w:hAnsi="Times New Roman" w:cs="Times New Roman"/>
          <w:b/>
          <w:bCs/>
          <w:kern w:val="0"/>
          <w14:ligatures w14:val="none"/>
        </w:rPr>
      </w:pPr>
      <w:r w:rsidRPr="00D94C2A">
        <w:rPr>
          <w:rFonts w:ascii="Times New Roman" w:eastAsia="Times New Roman" w:hAnsi="Times New Roman" w:cs="Times New Roman"/>
          <w:b/>
          <w:bCs/>
          <w:kern w:val="0"/>
          <w14:ligatures w14:val="none"/>
        </w:rPr>
        <w:t>Extended Abstract</w:t>
      </w:r>
    </w:p>
    <w:p w14:paraId="3D58A25D" w14:textId="18775695" w:rsidR="00550E1D" w:rsidRPr="00550E1D" w:rsidRDefault="00550E1D" w:rsidP="00550E1D">
      <w:pPr>
        <w:spacing w:after="0" w:line="240" w:lineRule="auto"/>
        <w:jc w:val="center"/>
        <w:outlineLvl w:val="1"/>
        <w:rPr>
          <w:rFonts w:ascii="Times New Roman" w:eastAsia="Times New Roman" w:hAnsi="Times New Roman" w:cs="Times New Roman"/>
          <w:kern w:val="0"/>
          <w14:ligatures w14:val="none"/>
        </w:rPr>
      </w:pPr>
      <w:r w:rsidRPr="00550E1D">
        <w:rPr>
          <w:rFonts w:ascii="Times New Roman" w:eastAsia="Times New Roman" w:hAnsi="Times New Roman" w:cs="Times New Roman"/>
          <w:kern w:val="0"/>
          <w14:ligatures w14:val="none"/>
        </w:rPr>
        <w:t>Submitted by: Maria Marealle, Chief Land Officer, African Development Bank</w:t>
      </w:r>
    </w:p>
    <w:p w14:paraId="2DE0AB8B" w14:textId="77777777" w:rsidR="00D94C2A" w:rsidRPr="00D94C2A" w:rsidRDefault="00D94C2A" w:rsidP="00D94C2A">
      <w:pPr>
        <w:spacing w:after="0" w:line="240" w:lineRule="auto"/>
        <w:rPr>
          <w:rFonts w:ascii="Times New Roman" w:eastAsia="Times New Roman" w:hAnsi="Times New Roman" w:cs="Times New Roman"/>
          <w:kern w:val="0"/>
          <w14:ligatures w14:val="none"/>
        </w:rPr>
      </w:pPr>
    </w:p>
    <w:p w14:paraId="5AFE946D" w14:textId="7494FC85" w:rsidR="00D94C2A" w:rsidRPr="0055035A" w:rsidRDefault="00D94C2A" w:rsidP="00D94C2A">
      <w:pPr>
        <w:pStyle w:val="ListParagraph"/>
        <w:numPr>
          <w:ilvl w:val="0"/>
          <w:numId w:val="27"/>
        </w:numPr>
        <w:spacing w:after="0" w:line="240" w:lineRule="auto"/>
        <w:outlineLvl w:val="2"/>
        <w:rPr>
          <w:rFonts w:ascii="Times New Roman" w:eastAsia="Times New Roman" w:hAnsi="Times New Roman" w:cs="Times New Roman"/>
          <w:b/>
          <w:bCs/>
          <w:kern w:val="0"/>
          <w14:ligatures w14:val="none"/>
        </w:rPr>
      </w:pPr>
      <w:r w:rsidRPr="0055035A">
        <w:rPr>
          <w:rFonts w:ascii="Times New Roman" w:eastAsia="Times New Roman" w:hAnsi="Times New Roman" w:cs="Times New Roman"/>
          <w:b/>
          <w:bCs/>
          <w:kern w:val="0"/>
          <w14:ligatures w14:val="none"/>
        </w:rPr>
        <w:t>Background and Rationale</w:t>
      </w:r>
    </w:p>
    <w:p w14:paraId="69F845A7" w14:textId="77777777" w:rsidR="00D94C2A" w:rsidRPr="0055035A" w:rsidRDefault="00D94C2A" w:rsidP="00D94C2A">
      <w:pPr>
        <w:pStyle w:val="ListParagraph"/>
        <w:spacing w:after="0" w:line="240" w:lineRule="auto"/>
        <w:outlineLvl w:val="2"/>
        <w:rPr>
          <w:rFonts w:ascii="Times New Roman" w:eastAsia="Times New Roman" w:hAnsi="Times New Roman" w:cs="Times New Roman"/>
          <w:b/>
          <w:bCs/>
          <w:kern w:val="0"/>
          <w14:ligatures w14:val="none"/>
        </w:rPr>
      </w:pPr>
    </w:p>
    <w:p w14:paraId="7390F156" w14:textId="77777777" w:rsidR="00D94C2A" w:rsidRPr="0055035A" w:rsidRDefault="00D94C2A" w:rsidP="0055035A">
      <w:p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Land underpins Africa’s economic transformation, climate adaptation, and social inclusion. In Senegal, women contribute nearly 70% of agricultural labour but own less than 7% of farmland, limiting their power in decision-making, access to finance, and ability to adopt climate-smart innovations. Despite progressive reforms such as the National Gender Strategy and revisions to the National Domain Law, implementation gaps persist. Women’s access to land remains mediated through customary systems, bureaucratic hurdles, and low representation in decision-making institutions.</w:t>
      </w:r>
    </w:p>
    <w:p w14:paraId="5CAB921A" w14:textId="77777777" w:rsidR="00D94C2A" w:rsidRPr="00D94C2A" w:rsidRDefault="00D94C2A" w:rsidP="0055035A">
      <w:pPr>
        <w:spacing w:after="0" w:line="240" w:lineRule="auto"/>
        <w:jc w:val="both"/>
        <w:rPr>
          <w:rFonts w:ascii="Times New Roman" w:eastAsia="Times New Roman" w:hAnsi="Times New Roman" w:cs="Times New Roman"/>
          <w:kern w:val="0"/>
          <w14:ligatures w14:val="none"/>
        </w:rPr>
      </w:pPr>
    </w:p>
    <w:p w14:paraId="1A8764FC" w14:textId="0D222A5B" w:rsidR="00D94C2A" w:rsidRPr="00D94C2A" w:rsidRDefault="00D94C2A" w:rsidP="0055035A">
      <w:p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Meanwhile, climate change</w:t>
      </w:r>
      <w:r w:rsidR="0055035A" w:rsidRPr="0055035A">
        <w:rPr>
          <w:rFonts w:ascii="Times New Roman" w:eastAsia="Times New Roman" w:hAnsi="Times New Roman" w:cs="Times New Roman"/>
          <w:kern w:val="0"/>
          <w14:ligatures w14:val="none"/>
        </w:rPr>
        <w:t xml:space="preserve">, </w:t>
      </w:r>
      <w:r w:rsidRPr="00D94C2A">
        <w:rPr>
          <w:rFonts w:ascii="Times New Roman" w:eastAsia="Times New Roman" w:hAnsi="Times New Roman" w:cs="Times New Roman"/>
          <w:kern w:val="0"/>
          <w14:ligatures w14:val="none"/>
        </w:rPr>
        <w:t>salinization, drought, and soil degradation</w:t>
      </w:r>
      <w:r w:rsidR="0055035A" w:rsidRPr="0055035A">
        <w:rPr>
          <w:rFonts w:ascii="Times New Roman" w:eastAsia="Times New Roman" w:hAnsi="Times New Roman" w:cs="Times New Roman"/>
          <w:kern w:val="0"/>
          <w14:ligatures w14:val="none"/>
        </w:rPr>
        <w:t xml:space="preserve"> erode</w:t>
      </w:r>
      <w:r w:rsidRPr="00D94C2A">
        <w:rPr>
          <w:rFonts w:ascii="Times New Roman" w:eastAsia="Times New Roman" w:hAnsi="Times New Roman" w:cs="Times New Roman"/>
          <w:kern w:val="0"/>
          <w14:ligatures w14:val="none"/>
        </w:rPr>
        <w:t xml:space="preserve"> agricultural productivity, disproportionately affecting female farmers in fragile ecosystems. These gendered and environmental inequities reinforce each other, undermining rural resilience and livelihoods.</w:t>
      </w:r>
    </w:p>
    <w:p w14:paraId="5739CB06" w14:textId="43E6A8ED" w:rsidR="00D94C2A" w:rsidRPr="00D94C2A" w:rsidRDefault="00D94C2A" w:rsidP="0055035A">
      <w:p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 xml:space="preserve">This research examines how gender inequality, insecure tenure, and climate vulnerability intersect, </w:t>
      </w:r>
      <w:r w:rsidR="0055035A" w:rsidRPr="0055035A">
        <w:rPr>
          <w:rFonts w:ascii="Times New Roman" w:eastAsia="Times New Roman" w:hAnsi="Times New Roman" w:cs="Times New Roman"/>
          <w:kern w:val="0"/>
          <w14:ligatures w14:val="none"/>
        </w:rPr>
        <w:t xml:space="preserve">and assesses how governance frameworks </w:t>
      </w:r>
      <w:r w:rsidRPr="00D94C2A">
        <w:rPr>
          <w:rFonts w:ascii="Times New Roman" w:eastAsia="Times New Roman" w:hAnsi="Times New Roman" w:cs="Times New Roman"/>
          <w:kern w:val="0"/>
          <w14:ligatures w14:val="none"/>
        </w:rPr>
        <w:t>mitigate or amplify these challenges. The study is implemented by the African Development Bank (AfDB) with support from the Canada–AfDB Climate Fund (CACF). Its goal is to generate actionable evidence for Senegal’s National Land Policy (2026–2035) and inform regional reforms in Africa.</w:t>
      </w:r>
    </w:p>
    <w:p w14:paraId="5B65CE47" w14:textId="77777777" w:rsidR="0055035A" w:rsidRPr="0055035A" w:rsidRDefault="0055035A" w:rsidP="0055035A">
      <w:pPr>
        <w:spacing w:after="0" w:line="240" w:lineRule="auto"/>
        <w:jc w:val="both"/>
        <w:rPr>
          <w:rFonts w:ascii="Times New Roman" w:eastAsia="Times New Roman" w:hAnsi="Times New Roman" w:cs="Times New Roman"/>
          <w:kern w:val="0"/>
          <w14:ligatures w14:val="none"/>
        </w:rPr>
      </w:pPr>
    </w:p>
    <w:p w14:paraId="5F2E76DA" w14:textId="3A90ADBC" w:rsidR="00D94C2A" w:rsidRPr="00D94C2A" w:rsidRDefault="00D94C2A" w:rsidP="0055035A">
      <w:pPr>
        <w:spacing w:after="0" w:line="240" w:lineRule="auto"/>
        <w:jc w:val="both"/>
        <w:rPr>
          <w:rFonts w:ascii="Times New Roman" w:eastAsia="Times New Roman" w:hAnsi="Times New Roman" w:cs="Times New Roman"/>
          <w:i/>
          <w:iCs/>
          <w:kern w:val="0"/>
          <w14:ligatures w14:val="none"/>
        </w:rPr>
      </w:pPr>
      <w:r w:rsidRPr="00D94C2A">
        <w:rPr>
          <w:rFonts w:ascii="Times New Roman" w:eastAsia="Times New Roman" w:hAnsi="Times New Roman" w:cs="Times New Roman"/>
          <w:kern w:val="0"/>
          <w14:ligatures w14:val="none"/>
        </w:rPr>
        <w:t xml:space="preserve">The guiding question is: </w:t>
      </w:r>
      <w:r w:rsidRPr="00D94C2A">
        <w:rPr>
          <w:rFonts w:ascii="Times New Roman" w:eastAsia="Times New Roman" w:hAnsi="Times New Roman" w:cs="Times New Roman"/>
          <w:i/>
          <w:iCs/>
          <w:kern w:val="0"/>
          <w14:ligatures w14:val="none"/>
        </w:rPr>
        <w:t>How do governance institutions, social norms, and climate risks interact to shape women’s land rights in Senegal, and what reforms can make land governance more gender-responsive and climate-resilient?</w:t>
      </w:r>
    </w:p>
    <w:p w14:paraId="14926296" w14:textId="72BF8DE4" w:rsidR="00D94C2A" w:rsidRPr="00D94C2A" w:rsidRDefault="00D94C2A" w:rsidP="00D94C2A">
      <w:pPr>
        <w:spacing w:after="0" w:line="240" w:lineRule="auto"/>
        <w:rPr>
          <w:rFonts w:ascii="Times New Roman" w:eastAsia="Times New Roman" w:hAnsi="Times New Roman" w:cs="Times New Roman"/>
          <w:kern w:val="0"/>
          <w14:ligatures w14:val="none"/>
        </w:rPr>
      </w:pPr>
    </w:p>
    <w:p w14:paraId="4EDCE2B7" w14:textId="13ACC17C" w:rsidR="00D94C2A" w:rsidRPr="0055035A" w:rsidRDefault="00D94C2A" w:rsidP="0055035A">
      <w:pPr>
        <w:pStyle w:val="ListParagraph"/>
        <w:numPr>
          <w:ilvl w:val="0"/>
          <w:numId w:val="27"/>
        </w:numPr>
        <w:spacing w:after="0" w:line="240" w:lineRule="auto"/>
        <w:outlineLvl w:val="2"/>
        <w:rPr>
          <w:rFonts w:ascii="Times New Roman" w:eastAsia="Times New Roman" w:hAnsi="Times New Roman" w:cs="Times New Roman"/>
          <w:b/>
          <w:bCs/>
          <w:kern w:val="0"/>
          <w14:ligatures w14:val="none"/>
        </w:rPr>
      </w:pPr>
      <w:r w:rsidRPr="0055035A">
        <w:rPr>
          <w:rFonts w:ascii="Times New Roman" w:eastAsia="Times New Roman" w:hAnsi="Times New Roman" w:cs="Times New Roman"/>
          <w:b/>
          <w:bCs/>
          <w:kern w:val="0"/>
          <w14:ligatures w14:val="none"/>
        </w:rPr>
        <w:t>Methodology and Data Sources</w:t>
      </w:r>
    </w:p>
    <w:p w14:paraId="3208B8F8" w14:textId="77777777" w:rsidR="0055035A" w:rsidRPr="0055035A" w:rsidRDefault="0055035A" w:rsidP="0055035A">
      <w:pPr>
        <w:pStyle w:val="ListParagraph"/>
        <w:spacing w:after="0" w:line="240" w:lineRule="auto"/>
        <w:outlineLvl w:val="2"/>
        <w:rPr>
          <w:rFonts w:ascii="Times New Roman" w:eastAsia="Times New Roman" w:hAnsi="Times New Roman" w:cs="Times New Roman"/>
          <w:b/>
          <w:bCs/>
          <w:kern w:val="0"/>
          <w14:ligatures w14:val="none"/>
        </w:rPr>
      </w:pPr>
    </w:p>
    <w:p w14:paraId="0AF2789A" w14:textId="77777777" w:rsidR="00D94C2A" w:rsidRPr="0055035A" w:rsidRDefault="00D94C2A" w:rsidP="0055035A">
      <w:p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The study employs a mixed-method, multi-source approach integrating administrative, spatial, and qualitative data. This triangulated design links measurable institutional and ecological patterns with lived experiences, ensuring empirical depth. Data collection and analysis (2024–2026) are ongoing, providing interim insights as modeling continues.</w:t>
      </w:r>
    </w:p>
    <w:p w14:paraId="2C6B011F" w14:textId="77777777" w:rsidR="0055035A" w:rsidRPr="00D94C2A" w:rsidRDefault="0055035A" w:rsidP="00D94C2A">
      <w:pPr>
        <w:spacing w:after="0" w:line="240" w:lineRule="auto"/>
        <w:rPr>
          <w:rFonts w:ascii="Times New Roman" w:eastAsia="Times New Roman" w:hAnsi="Times New Roman" w:cs="Times New Roman"/>
          <w:kern w:val="0"/>
          <w14:ligatures w14:val="none"/>
        </w:rPr>
      </w:pPr>
    </w:p>
    <w:p w14:paraId="5054AEE6" w14:textId="48488495" w:rsidR="00D94C2A" w:rsidRPr="0055035A" w:rsidRDefault="00D94C2A" w:rsidP="00D94C2A">
      <w:pPr>
        <w:pStyle w:val="ListParagraph"/>
        <w:numPr>
          <w:ilvl w:val="1"/>
          <w:numId w:val="27"/>
        </w:numPr>
        <w:spacing w:after="0" w:line="240" w:lineRule="auto"/>
        <w:ind w:left="360"/>
        <w:outlineLvl w:val="3"/>
        <w:rPr>
          <w:rFonts w:ascii="Times New Roman" w:eastAsia="Times New Roman" w:hAnsi="Times New Roman" w:cs="Times New Roman"/>
          <w:kern w:val="0"/>
          <w14:ligatures w14:val="none"/>
        </w:rPr>
      </w:pPr>
      <w:r w:rsidRPr="0055035A">
        <w:rPr>
          <w:rFonts w:ascii="Times New Roman" w:eastAsia="Times New Roman" w:hAnsi="Times New Roman" w:cs="Times New Roman"/>
          <w:b/>
          <w:bCs/>
          <w:kern w:val="0"/>
          <w14:ligatures w14:val="none"/>
        </w:rPr>
        <w:t>Administrative Data Analysis</w:t>
      </w:r>
      <w:r w:rsidR="0055035A" w:rsidRPr="0055035A">
        <w:rPr>
          <w:rFonts w:ascii="Times New Roman" w:eastAsia="Times New Roman" w:hAnsi="Times New Roman" w:cs="Times New Roman"/>
          <w:b/>
          <w:bCs/>
          <w:kern w:val="0"/>
          <w14:ligatures w14:val="none"/>
        </w:rPr>
        <w:t xml:space="preserve">: </w:t>
      </w:r>
      <w:r w:rsidRPr="00D94C2A">
        <w:rPr>
          <w:rFonts w:ascii="Times New Roman" w:eastAsia="Times New Roman" w:hAnsi="Times New Roman" w:cs="Times New Roman"/>
          <w:kern w:val="0"/>
          <w14:ligatures w14:val="none"/>
        </w:rPr>
        <w:t>A longitudinal dataset (2010–2023) was compiled from regional and municipal land commissions in Fatick, Tambacounda, and Matam—selected for their contrasting ecological and governance contexts: coastal/saline, semi-arid, and pastoral/riverine respectively.</w:t>
      </w:r>
      <w:r w:rsidR="0055035A" w:rsidRPr="0055035A">
        <w:rPr>
          <w:rFonts w:ascii="Times New Roman" w:eastAsia="Times New Roman" w:hAnsi="Times New Roman" w:cs="Times New Roman"/>
          <w:kern w:val="0"/>
          <w14:ligatures w14:val="none"/>
        </w:rPr>
        <w:t xml:space="preserve"> </w:t>
      </w:r>
      <w:r w:rsidRPr="0055035A">
        <w:rPr>
          <w:rFonts w:ascii="Times New Roman" w:eastAsia="Times New Roman" w:hAnsi="Times New Roman" w:cs="Times New Roman"/>
          <w:kern w:val="0"/>
          <w14:ligatures w14:val="none"/>
        </w:rPr>
        <w:t>The dataset includes:</w:t>
      </w:r>
    </w:p>
    <w:p w14:paraId="5BC68332" w14:textId="77777777" w:rsidR="00D94C2A" w:rsidRPr="00D94C2A" w:rsidRDefault="00D94C2A" w:rsidP="0055035A">
      <w:pPr>
        <w:numPr>
          <w:ilvl w:val="0"/>
          <w:numId w:val="28"/>
        </w:numPr>
        <w:spacing w:after="0" w:line="240" w:lineRule="auto"/>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 xml:space="preserve">Land applications and allocations disaggregated by </w:t>
      </w:r>
      <w:proofErr w:type="gramStart"/>
      <w:r w:rsidRPr="00D94C2A">
        <w:rPr>
          <w:rFonts w:ascii="Times New Roman" w:eastAsia="Times New Roman" w:hAnsi="Times New Roman" w:cs="Times New Roman"/>
          <w:kern w:val="0"/>
          <w14:ligatures w14:val="none"/>
        </w:rPr>
        <w:t>gender;</w:t>
      </w:r>
      <w:proofErr w:type="gramEnd"/>
    </w:p>
    <w:p w14:paraId="69A4069A" w14:textId="77777777" w:rsidR="00D94C2A" w:rsidRPr="00D94C2A" w:rsidRDefault="00D94C2A" w:rsidP="0055035A">
      <w:pPr>
        <w:numPr>
          <w:ilvl w:val="0"/>
          <w:numId w:val="28"/>
        </w:numPr>
        <w:spacing w:after="0" w:line="240" w:lineRule="auto"/>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 xml:space="preserve">Registration and titling </w:t>
      </w:r>
      <w:proofErr w:type="gramStart"/>
      <w:r w:rsidRPr="00D94C2A">
        <w:rPr>
          <w:rFonts w:ascii="Times New Roman" w:eastAsia="Times New Roman" w:hAnsi="Times New Roman" w:cs="Times New Roman"/>
          <w:kern w:val="0"/>
          <w14:ligatures w14:val="none"/>
        </w:rPr>
        <w:t>records;</w:t>
      </w:r>
      <w:proofErr w:type="gramEnd"/>
    </w:p>
    <w:p w14:paraId="549E424C" w14:textId="77777777" w:rsidR="00D94C2A" w:rsidRPr="00D94C2A" w:rsidRDefault="00D94C2A" w:rsidP="0055035A">
      <w:pPr>
        <w:numPr>
          <w:ilvl w:val="0"/>
          <w:numId w:val="28"/>
        </w:numPr>
        <w:spacing w:after="0" w:line="240" w:lineRule="auto"/>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Land dispute data (type, location, and resolution</w:t>
      </w:r>
      <w:proofErr w:type="gramStart"/>
      <w:r w:rsidRPr="00D94C2A">
        <w:rPr>
          <w:rFonts w:ascii="Times New Roman" w:eastAsia="Times New Roman" w:hAnsi="Times New Roman" w:cs="Times New Roman"/>
          <w:kern w:val="0"/>
          <w14:ligatures w14:val="none"/>
        </w:rPr>
        <w:t>);</w:t>
      </w:r>
      <w:proofErr w:type="gramEnd"/>
    </w:p>
    <w:p w14:paraId="56623D38" w14:textId="77777777" w:rsidR="00D94C2A" w:rsidRPr="0055035A" w:rsidRDefault="00D94C2A" w:rsidP="0055035A">
      <w:pPr>
        <w:numPr>
          <w:ilvl w:val="0"/>
          <w:numId w:val="28"/>
        </w:numPr>
        <w:spacing w:after="0" w:line="240" w:lineRule="auto"/>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Gender composition of governance institutions.</w:t>
      </w:r>
    </w:p>
    <w:p w14:paraId="1DBAD5D8" w14:textId="77777777" w:rsidR="0055035A" w:rsidRPr="00D94C2A" w:rsidRDefault="0055035A" w:rsidP="0055035A">
      <w:pPr>
        <w:spacing w:after="0" w:line="240" w:lineRule="auto"/>
        <w:ind w:left="720"/>
        <w:rPr>
          <w:rFonts w:ascii="Times New Roman" w:eastAsia="Times New Roman" w:hAnsi="Times New Roman" w:cs="Times New Roman"/>
          <w:kern w:val="0"/>
          <w14:ligatures w14:val="none"/>
        </w:rPr>
      </w:pPr>
    </w:p>
    <w:p w14:paraId="74DCD6BF" w14:textId="0408B8E0" w:rsidR="00D94C2A" w:rsidRPr="0055035A" w:rsidRDefault="00D94C2A" w:rsidP="0055035A">
      <w:pPr>
        <w:spacing w:after="0" w:line="240" w:lineRule="auto"/>
        <w:ind w:left="360"/>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lastRenderedPageBreak/>
        <w:t>Descriptive and regression analyses identify administrative and institutional determinants of women’s land documentation. Variables include women’s representation in commissions, processing time, and customary endorsement.</w:t>
      </w:r>
      <w:r w:rsidR="0055035A" w:rsidRPr="0055035A">
        <w:rPr>
          <w:rFonts w:ascii="Times New Roman" w:eastAsia="Times New Roman" w:hAnsi="Times New Roman" w:cs="Times New Roman"/>
          <w:kern w:val="0"/>
          <w14:ligatures w14:val="none"/>
        </w:rPr>
        <w:t xml:space="preserve"> </w:t>
      </w:r>
      <w:r w:rsidRPr="00D94C2A">
        <w:rPr>
          <w:rFonts w:ascii="Times New Roman" w:eastAsia="Times New Roman" w:hAnsi="Times New Roman" w:cs="Times New Roman"/>
          <w:kern w:val="0"/>
          <w14:ligatures w14:val="none"/>
        </w:rPr>
        <w:t xml:space="preserve">Preliminary analysis indicates </w:t>
      </w:r>
      <w:r w:rsidR="0055035A" w:rsidRPr="0055035A">
        <w:rPr>
          <w:rFonts w:ascii="Times New Roman" w:eastAsia="Times New Roman" w:hAnsi="Times New Roman" w:cs="Times New Roman"/>
          <w:kern w:val="0"/>
          <w14:ligatures w14:val="none"/>
        </w:rPr>
        <w:t xml:space="preserve">that 72% of allocations occur under customary tenure, with only 18% of parcels allocated to women who are </w:t>
      </w:r>
      <w:r w:rsidRPr="00D94C2A">
        <w:rPr>
          <w:rFonts w:ascii="Times New Roman" w:eastAsia="Times New Roman" w:hAnsi="Times New Roman" w:cs="Times New Roman"/>
          <w:kern w:val="0"/>
          <w14:ligatures w14:val="none"/>
        </w:rPr>
        <w:t xml:space="preserve">formally registered. Women </w:t>
      </w:r>
      <w:r w:rsidR="0055035A" w:rsidRPr="0055035A">
        <w:rPr>
          <w:rFonts w:ascii="Times New Roman" w:eastAsia="Times New Roman" w:hAnsi="Times New Roman" w:cs="Times New Roman"/>
          <w:kern w:val="0"/>
          <w14:ligatures w14:val="none"/>
        </w:rPr>
        <w:t>hold fewer than 20% of decision-making positions, revealing</w:t>
      </w:r>
      <w:r w:rsidRPr="00D94C2A">
        <w:rPr>
          <w:rFonts w:ascii="Times New Roman" w:eastAsia="Times New Roman" w:hAnsi="Times New Roman" w:cs="Times New Roman"/>
          <w:kern w:val="0"/>
          <w14:ligatures w14:val="none"/>
        </w:rPr>
        <w:t xml:space="preserve"> a gap between policy intent and institutional practice.</w:t>
      </w:r>
    </w:p>
    <w:p w14:paraId="11F4319E" w14:textId="77777777" w:rsidR="0055035A" w:rsidRPr="00D94C2A" w:rsidRDefault="0055035A" w:rsidP="00D94C2A">
      <w:pPr>
        <w:spacing w:after="0" w:line="240" w:lineRule="auto"/>
        <w:rPr>
          <w:rFonts w:ascii="Times New Roman" w:eastAsia="Times New Roman" w:hAnsi="Times New Roman" w:cs="Times New Roman"/>
          <w:kern w:val="0"/>
          <w14:ligatures w14:val="none"/>
        </w:rPr>
      </w:pPr>
    </w:p>
    <w:p w14:paraId="34E792A8" w14:textId="77777777" w:rsidR="0055035A" w:rsidRPr="0055035A" w:rsidRDefault="00D94C2A" w:rsidP="0055035A">
      <w:pPr>
        <w:pStyle w:val="ListParagraph"/>
        <w:numPr>
          <w:ilvl w:val="1"/>
          <w:numId w:val="27"/>
        </w:numPr>
        <w:spacing w:after="0" w:line="240" w:lineRule="auto"/>
        <w:ind w:left="360"/>
        <w:jc w:val="both"/>
        <w:outlineLvl w:val="3"/>
        <w:rPr>
          <w:rFonts w:ascii="Times New Roman" w:eastAsia="Times New Roman" w:hAnsi="Times New Roman" w:cs="Times New Roman"/>
          <w:kern w:val="0"/>
          <w14:ligatures w14:val="none"/>
        </w:rPr>
      </w:pPr>
      <w:r w:rsidRPr="0055035A">
        <w:rPr>
          <w:rFonts w:ascii="Times New Roman" w:eastAsia="Times New Roman" w:hAnsi="Times New Roman" w:cs="Times New Roman"/>
          <w:b/>
          <w:bCs/>
          <w:kern w:val="0"/>
          <w14:ligatures w14:val="none"/>
        </w:rPr>
        <w:t>Spatial (Geographic) Analysis</w:t>
      </w:r>
      <w:r w:rsidR="0055035A" w:rsidRPr="0055035A">
        <w:rPr>
          <w:rFonts w:ascii="Times New Roman" w:eastAsia="Times New Roman" w:hAnsi="Times New Roman" w:cs="Times New Roman"/>
          <w:b/>
          <w:bCs/>
          <w:kern w:val="0"/>
          <w14:ligatures w14:val="none"/>
        </w:rPr>
        <w:t xml:space="preserve">: </w:t>
      </w:r>
      <w:r w:rsidRPr="00D94C2A">
        <w:rPr>
          <w:rFonts w:ascii="Times New Roman" w:eastAsia="Times New Roman" w:hAnsi="Times New Roman" w:cs="Times New Roman"/>
          <w:kern w:val="0"/>
          <w14:ligatures w14:val="none"/>
        </w:rPr>
        <w:t>To quantify environmental risk and overlap with tenure outcomes, Landsat 8 OLI and Sentinel-2 MSI imagery (2013–2023) were analyzed using NDVI and soil reflectance indices to assess degradation, salinity, and drought.</w:t>
      </w:r>
    </w:p>
    <w:p w14:paraId="07F7754C" w14:textId="77777777" w:rsidR="0055035A" w:rsidRPr="0055035A" w:rsidRDefault="0055035A" w:rsidP="0055035A">
      <w:pPr>
        <w:pStyle w:val="ListParagraph"/>
        <w:spacing w:after="0" w:line="240" w:lineRule="auto"/>
        <w:ind w:left="360"/>
        <w:jc w:val="both"/>
        <w:outlineLvl w:val="3"/>
        <w:rPr>
          <w:rFonts w:ascii="Times New Roman" w:eastAsia="Times New Roman" w:hAnsi="Times New Roman" w:cs="Times New Roman"/>
          <w:kern w:val="0"/>
          <w14:ligatures w14:val="none"/>
        </w:rPr>
      </w:pPr>
    </w:p>
    <w:p w14:paraId="6ED5A3E4" w14:textId="77777777" w:rsidR="0055035A" w:rsidRPr="0055035A" w:rsidRDefault="00D94C2A" w:rsidP="0055035A">
      <w:pPr>
        <w:pStyle w:val="ListParagraph"/>
        <w:spacing w:after="0" w:line="240" w:lineRule="auto"/>
        <w:ind w:left="360"/>
        <w:jc w:val="both"/>
        <w:outlineLvl w:val="3"/>
        <w:rPr>
          <w:rFonts w:ascii="Times New Roman" w:eastAsia="Times New Roman" w:hAnsi="Times New Roman" w:cs="Times New Roman"/>
          <w:kern w:val="0"/>
          <w14:ligatures w14:val="none"/>
        </w:rPr>
      </w:pPr>
      <w:r w:rsidRPr="0055035A">
        <w:rPr>
          <w:rFonts w:ascii="Times New Roman" w:eastAsia="Times New Roman" w:hAnsi="Times New Roman" w:cs="Times New Roman"/>
          <w:kern w:val="0"/>
          <w14:ligatures w14:val="none"/>
        </w:rPr>
        <w:t>By overlaying spatial and administrative layers, “climate–tenure hotspots” were identified—zones where tenure insecurity and climate stress converge. Spatial data were processed in ArcGIS 10.8 and QGIS 3.32 using supervised classification and temporal trend analysis.</w:t>
      </w:r>
    </w:p>
    <w:p w14:paraId="53932D86" w14:textId="77777777" w:rsidR="0055035A" w:rsidRPr="0055035A" w:rsidRDefault="0055035A" w:rsidP="0055035A">
      <w:pPr>
        <w:pStyle w:val="ListParagraph"/>
        <w:spacing w:after="0" w:line="240" w:lineRule="auto"/>
        <w:ind w:left="360"/>
        <w:jc w:val="both"/>
        <w:outlineLvl w:val="3"/>
        <w:rPr>
          <w:rFonts w:ascii="Times New Roman" w:eastAsia="Times New Roman" w:hAnsi="Times New Roman" w:cs="Times New Roman"/>
          <w:kern w:val="0"/>
          <w14:ligatures w14:val="none"/>
        </w:rPr>
      </w:pPr>
    </w:p>
    <w:p w14:paraId="4EBB1842" w14:textId="14FD46D6" w:rsidR="00D94C2A" w:rsidRPr="0055035A" w:rsidRDefault="00D94C2A" w:rsidP="0055035A">
      <w:pPr>
        <w:pStyle w:val="ListParagraph"/>
        <w:spacing w:after="0" w:line="240" w:lineRule="auto"/>
        <w:ind w:left="360"/>
        <w:jc w:val="both"/>
        <w:outlineLvl w:val="3"/>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Findings show 64% of women’s plots lie in degraded or saline zones. Vegetation cover declined by 23% (2013–2023), corresponding to 30–40% lower productivity than national averages. This confirms that ecological degradation and insecure tenure reinforce one another.</w:t>
      </w:r>
    </w:p>
    <w:p w14:paraId="7F2B5BF7" w14:textId="77777777" w:rsidR="0055035A" w:rsidRPr="00D94C2A" w:rsidRDefault="0055035A" w:rsidP="00D94C2A">
      <w:pPr>
        <w:spacing w:after="0" w:line="240" w:lineRule="auto"/>
        <w:rPr>
          <w:rFonts w:ascii="Times New Roman" w:eastAsia="Times New Roman" w:hAnsi="Times New Roman" w:cs="Times New Roman"/>
          <w:kern w:val="0"/>
          <w14:ligatures w14:val="none"/>
        </w:rPr>
      </w:pPr>
    </w:p>
    <w:p w14:paraId="51B3736A" w14:textId="12E2CB1B" w:rsidR="00D94C2A" w:rsidRPr="00D94C2A" w:rsidRDefault="00D94C2A" w:rsidP="0055035A">
      <w:pPr>
        <w:pStyle w:val="ListParagraph"/>
        <w:numPr>
          <w:ilvl w:val="1"/>
          <w:numId w:val="27"/>
        </w:numPr>
        <w:spacing w:after="0" w:line="240" w:lineRule="auto"/>
        <w:ind w:left="360"/>
        <w:jc w:val="both"/>
        <w:outlineLvl w:val="3"/>
        <w:rPr>
          <w:rFonts w:ascii="Times New Roman" w:eastAsia="Times New Roman" w:hAnsi="Times New Roman" w:cs="Times New Roman"/>
          <w:kern w:val="0"/>
          <w14:ligatures w14:val="none"/>
        </w:rPr>
      </w:pPr>
      <w:r w:rsidRPr="0055035A">
        <w:rPr>
          <w:rFonts w:ascii="Times New Roman" w:eastAsia="Times New Roman" w:hAnsi="Times New Roman" w:cs="Times New Roman"/>
          <w:b/>
          <w:bCs/>
          <w:kern w:val="0"/>
          <w14:ligatures w14:val="none"/>
        </w:rPr>
        <w:t>Field Research and Participatory Methods</w:t>
      </w:r>
      <w:r w:rsidR="0055035A" w:rsidRPr="0055035A">
        <w:rPr>
          <w:rFonts w:ascii="Times New Roman" w:eastAsia="Times New Roman" w:hAnsi="Times New Roman" w:cs="Times New Roman"/>
          <w:b/>
          <w:bCs/>
          <w:kern w:val="0"/>
          <w14:ligatures w14:val="none"/>
        </w:rPr>
        <w:t xml:space="preserve">: </w:t>
      </w:r>
      <w:r w:rsidRPr="00D94C2A">
        <w:rPr>
          <w:rFonts w:ascii="Times New Roman" w:eastAsia="Times New Roman" w:hAnsi="Times New Roman" w:cs="Times New Roman"/>
          <w:kern w:val="0"/>
          <w14:ligatures w14:val="none"/>
        </w:rPr>
        <w:t>To capture community perspectives, 11 semi-structured interviews and three regional workshops were conducted (March–August 2025) with 89 participants (34 women), including government, traditional leaders, civil society, and producer groups.</w:t>
      </w:r>
      <w:r w:rsidR="0055035A" w:rsidRPr="0055035A">
        <w:rPr>
          <w:rFonts w:ascii="Times New Roman" w:eastAsia="Times New Roman" w:hAnsi="Times New Roman" w:cs="Times New Roman"/>
          <w:kern w:val="0"/>
          <w14:ligatures w14:val="none"/>
        </w:rPr>
        <w:t xml:space="preserve"> </w:t>
      </w:r>
      <w:r w:rsidRPr="00D94C2A">
        <w:rPr>
          <w:rFonts w:ascii="Times New Roman" w:eastAsia="Times New Roman" w:hAnsi="Times New Roman" w:cs="Times New Roman"/>
          <w:kern w:val="0"/>
          <w14:ligatures w14:val="none"/>
        </w:rPr>
        <w:t>Discussions explored:</w:t>
      </w:r>
    </w:p>
    <w:p w14:paraId="6C5F9780" w14:textId="77777777" w:rsidR="00D94C2A" w:rsidRPr="00D94C2A" w:rsidRDefault="00D94C2A" w:rsidP="0055035A">
      <w:pPr>
        <w:numPr>
          <w:ilvl w:val="0"/>
          <w:numId w:val="29"/>
        </w:num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 xml:space="preserve">Women’s access to land under customary and formal </w:t>
      </w:r>
      <w:proofErr w:type="gramStart"/>
      <w:r w:rsidRPr="00D94C2A">
        <w:rPr>
          <w:rFonts w:ascii="Times New Roman" w:eastAsia="Times New Roman" w:hAnsi="Times New Roman" w:cs="Times New Roman"/>
          <w:kern w:val="0"/>
          <w14:ligatures w14:val="none"/>
        </w:rPr>
        <w:t>systems;</w:t>
      </w:r>
      <w:proofErr w:type="gramEnd"/>
    </w:p>
    <w:p w14:paraId="2A43FC38" w14:textId="77777777" w:rsidR="00D94C2A" w:rsidRPr="00D94C2A" w:rsidRDefault="00D94C2A" w:rsidP="0055035A">
      <w:pPr>
        <w:numPr>
          <w:ilvl w:val="0"/>
          <w:numId w:val="29"/>
        </w:num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 xml:space="preserve">Effects of marital status, inheritance, and migration on </w:t>
      </w:r>
      <w:proofErr w:type="gramStart"/>
      <w:r w:rsidRPr="00D94C2A">
        <w:rPr>
          <w:rFonts w:ascii="Times New Roman" w:eastAsia="Times New Roman" w:hAnsi="Times New Roman" w:cs="Times New Roman"/>
          <w:kern w:val="0"/>
          <w14:ligatures w14:val="none"/>
        </w:rPr>
        <w:t>tenure;</w:t>
      </w:r>
      <w:proofErr w:type="gramEnd"/>
    </w:p>
    <w:p w14:paraId="0D2FA76B" w14:textId="77777777" w:rsidR="00D94C2A" w:rsidRPr="00D94C2A" w:rsidRDefault="00D94C2A" w:rsidP="0055035A">
      <w:pPr>
        <w:numPr>
          <w:ilvl w:val="0"/>
          <w:numId w:val="29"/>
        </w:num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 xml:space="preserve">Impacts of salinity, drought, and water scarcity on </w:t>
      </w:r>
      <w:proofErr w:type="gramStart"/>
      <w:r w:rsidRPr="00D94C2A">
        <w:rPr>
          <w:rFonts w:ascii="Times New Roman" w:eastAsia="Times New Roman" w:hAnsi="Times New Roman" w:cs="Times New Roman"/>
          <w:kern w:val="0"/>
          <w14:ligatures w14:val="none"/>
        </w:rPr>
        <w:t>productivity;</w:t>
      </w:r>
      <w:proofErr w:type="gramEnd"/>
    </w:p>
    <w:p w14:paraId="78367AC0" w14:textId="77777777" w:rsidR="00D94C2A" w:rsidRPr="00D94C2A" w:rsidRDefault="00D94C2A" w:rsidP="0055035A">
      <w:pPr>
        <w:numPr>
          <w:ilvl w:val="0"/>
          <w:numId w:val="29"/>
        </w:num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Grassroots innovations in land restoration.</w:t>
      </w:r>
    </w:p>
    <w:p w14:paraId="55F37917" w14:textId="77777777" w:rsidR="0055035A" w:rsidRPr="0055035A" w:rsidRDefault="0055035A" w:rsidP="0055035A">
      <w:pPr>
        <w:spacing w:after="0" w:line="240" w:lineRule="auto"/>
        <w:jc w:val="both"/>
        <w:rPr>
          <w:rFonts w:ascii="Times New Roman" w:eastAsia="Times New Roman" w:hAnsi="Times New Roman" w:cs="Times New Roman"/>
          <w:kern w:val="0"/>
          <w14:ligatures w14:val="none"/>
        </w:rPr>
      </w:pPr>
    </w:p>
    <w:p w14:paraId="5D101182" w14:textId="574A3C2D" w:rsidR="00D94C2A" w:rsidRPr="0055035A" w:rsidRDefault="00D94C2A" w:rsidP="0055035A">
      <w:pPr>
        <w:spacing w:after="0" w:line="240" w:lineRule="auto"/>
        <w:ind w:left="360"/>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Qualitative data were transcribed, coded, and analyzed thematically using NVivo and Excel, identifying recurring barriers (e.g., male mediation, quota enforcement gaps) and emerging adaptive practices.</w:t>
      </w:r>
    </w:p>
    <w:p w14:paraId="268069BF" w14:textId="77777777" w:rsidR="0055035A" w:rsidRPr="00D94C2A" w:rsidRDefault="0055035A" w:rsidP="00D94C2A">
      <w:pPr>
        <w:spacing w:after="0" w:line="240" w:lineRule="auto"/>
        <w:rPr>
          <w:rFonts w:ascii="Times New Roman" w:eastAsia="Times New Roman" w:hAnsi="Times New Roman" w:cs="Times New Roman"/>
          <w:kern w:val="0"/>
          <w14:ligatures w14:val="none"/>
        </w:rPr>
      </w:pPr>
    </w:p>
    <w:p w14:paraId="608DCCB9" w14:textId="09E657D9" w:rsidR="00D94C2A" w:rsidRPr="00D94C2A" w:rsidRDefault="00D94C2A" w:rsidP="002501A3">
      <w:pPr>
        <w:pStyle w:val="ListParagraph"/>
        <w:numPr>
          <w:ilvl w:val="1"/>
          <w:numId w:val="27"/>
        </w:numPr>
        <w:spacing w:after="0" w:line="240" w:lineRule="auto"/>
        <w:ind w:left="360"/>
        <w:outlineLvl w:val="3"/>
        <w:rPr>
          <w:rFonts w:ascii="Times New Roman" w:eastAsia="Times New Roman" w:hAnsi="Times New Roman" w:cs="Times New Roman"/>
          <w:kern w:val="0"/>
          <w14:ligatures w14:val="none"/>
        </w:rPr>
      </w:pPr>
      <w:r w:rsidRPr="0055035A">
        <w:rPr>
          <w:rFonts w:ascii="Times New Roman" w:eastAsia="Times New Roman" w:hAnsi="Times New Roman" w:cs="Times New Roman"/>
          <w:b/>
          <w:bCs/>
          <w:kern w:val="0"/>
          <w14:ligatures w14:val="none"/>
        </w:rPr>
        <w:t>Integrative Analytical Framework</w:t>
      </w:r>
      <w:r w:rsidR="0055035A" w:rsidRPr="0055035A">
        <w:rPr>
          <w:rFonts w:ascii="Times New Roman" w:eastAsia="Times New Roman" w:hAnsi="Times New Roman" w:cs="Times New Roman"/>
          <w:b/>
          <w:bCs/>
          <w:kern w:val="0"/>
          <w14:ligatures w14:val="none"/>
        </w:rPr>
        <w:t xml:space="preserve">: </w:t>
      </w:r>
      <w:r w:rsidRPr="00D94C2A">
        <w:rPr>
          <w:rFonts w:ascii="Times New Roman" w:eastAsia="Times New Roman" w:hAnsi="Times New Roman" w:cs="Times New Roman"/>
          <w:kern w:val="0"/>
          <w14:ligatures w14:val="none"/>
        </w:rPr>
        <w:t xml:space="preserve">The study applies a </w:t>
      </w:r>
      <w:r w:rsidRPr="00D94C2A">
        <w:rPr>
          <w:rFonts w:ascii="Times New Roman" w:eastAsia="Times New Roman" w:hAnsi="Times New Roman" w:cs="Times New Roman"/>
          <w:b/>
          <w:bCs/>
          <w:kern w:val="0"/>
          <w14:ligatures w14:val="none"/>
        </w:rPr>
        <w:t>three-layer analytical model</w:t>
      </w:r>
      <w:r w:rsidRPr="00D94C2A">
        <w:rPr>
          <w:rFonts w:ascii="Times New Roman" w:eastAsia="Times New Roman" w:hAnsi="Times New Roman" w:cs="Times New Roman"/>
          <w:kern w:val="0"/>
          <w14:ligatures w14:val="none"/>
        </w:rPr>
        <w:t>:</w:t>
      </w:r>
    </w:p>
    <w:p w14:paraId="3AF3CBD2" w14:textId="77777777" w:rsidR="00D94C2A" w:rsidRPr="00D94C2A" w:rsidRDefault="00D94C2A" w:rsidP="0055035A">
      <w:pPr>
        <w:numPr>
          <w:ilvl w:val="0"/>
          <w:numId w:val="30"/>
        </w:numPr>
        <w:spacing w:after="0" w:line="240" w:lineRule="auto"/>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 xml:space="preserve">Quantitative regression to assess predictors of women’s land </w:t>
      </w:r>
      <w:proofErr w:type="gramStart"/>
      <w:r w:rsidRPr="00D94C2A">
        <w:rPr>
          <w:rFonts w:ascii="Times New Roman" w:eastAsia="Times New Roman" w:hAnsi="Times New Roman" w:cs="Times New Roman"/>
          <w:kern w:val="0"/>
          <w14:ligatures w14:val="none"/>
        </w:rPr>
        <w:t>security;</w:t>
      </w:r>
      <w:proofErr w:type="gramEnd"/>
    </w:p>
    <w:p w14:paraId="35DEFF5F" w14:textId="77777777" w:rsidR="00D94C2A" w:rsidRPr="00D94C2A" w:rsidRDefault="00D94C2A" w:rsidP="0055035A">
      <w:pPr>
        <w:numPr>
          <w:ilvl w:val="0"/>
          <w:numId w:val="30"/>
        </w:numPr>
        <w:spacing w:after="0" w:line="240" w:lineRule="auto"/>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 xml:space="preserve">Geospatial diagnostics linking environmental stress and gendered land </w:t>
      </w:r>
      <w:proofErr w:type="gramStart"/>
      <w:r w:rsidRPr="00D94C2A">
        <w:rPr>
          <w:rFonts w:ascii="Times New Roman" w:eastAsia="Times New Roman" w:hAnsi="Times New Roman" w:cs="Times New Roman"/>
          <w:kern w:val="0"/>
          <w14:ligatures w14:val="none"/>
        </w:rPr>
        <w:t>distribution;</w:t>
      </w:r>
      <w:proofErr w:type="gramEnd"/>
    </w:p>
    <w:p w14:paraId="46F7AF4F" w14:textId="77777777" w:rsidR="00D94C2A" w:rsidRPr="00D94C2A" w:rsidRDefault="00D94C2A" w:rsidP="0055035A">
      <w:pPr>
        <w:numPr>
          <w:ilvl w:val="0"/>
          <w:numId w:val="30"/>
        </w:numPr>
        <w:spacing w:after="0" w:line="240" w:lineRule="auto"/>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Thematic synthesis interpreting how institutional and cultural norms shape adaptation.</w:t>
      </w:r>
    </w:p>
    <w:p w14:paraId="209BB922" w14:textId="77777777" w:rsidR="0055035A" w:rsidRPr="0055035A" w:rsidRDefault="0055035A" w:rsidP="0055035A">
      <w:pPr>
        <w:spacing w:after="0" w:line="240" w:lineRule="auto"/>
        <w:ind w:firstLine="360"/>
        <w:rPr>
          <w:rFonts w:ascii="Times New Roman" w:eastAsia="Times New Roman" w:hAnsi="Times New Roman" w:cs="Times New Roman"/>
          <w:kern w:val="0"/>
          <w14:ligatures w14:val="none"/>
        </w:rPr>
      </w:pPr>
    </w:p>
    <w:p w14:paraId="270D54B3" w14:textId="4FC05578" w:rsidR="00D94C2A" w:rsidRPr="0055035A" w:rsidRDefault="00D94C2A" w:rsidP="0055035A">
      <w:pPr>
        <w:spacing w:after="0" w:line="240" w:lineRule="auto"/>
        <w:ind w:left="360"/>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This holistic framework captures how governance, ecology, and social structures interact to determine women’s land outcomes. Cross-validation enhances analytical robustness.</w:t>
      </w:r>
    </w:p>
    <w:p w14:paraId="494204F8" w14:textId="77777777" w:rsidR="0055035A" w:rsidRPr="00D94C2A" w:rsidRDefault="0055035A" w:rsidP="00D94C2A">
      <w:pPr>
        <w:spacing w:after="0" w:line="240" w:lineRule="auto"/>
        <w:rPr>
          <w:rFonts w:ascii="Times New Roman" w:eastAsia="Times New Roman" w:hAnsi="Times New Roman" w:cs="Times New Roman"/>
          <w:kern w:val="0"/>
          <w14:ligatures w14:val="none"/>
        </w:rPr>
      </w:pPr>
    </w:p>
    <w:p w14:paraId="050E2F31" w14:textId="198C1C19" w:rsidR="00D94C2A" w:rsidRPr="0055035A" w:rsidRDefault="00D94C2A" w:rsidP="0055035A">
      <w:pPr>
        <w:pStyle w:val="ListParagraph"/>
        <w:numPr>
          <w:ilvl w:val="1"/>
          <w:numId w:val="27"/>
        </w:numPr>
        <w:spacing w:after="0" w:line="240" w:lineRule="auto"/>
        <w:ind w:left="360"/>
        <w:jc w:val="both"/>
        <w:outlineLvl w:val="3"/>
        <w:rPr>
          <w:rFonts w:ascii="Times New Roman" w:eastAsia="Times New Roman" w:hAnsi="Times New Roman" w:cs="Times New Roman"/>
          <w:kern w:val="0"/>
          <w14:ligatures w14:val="none"/>
        </w:rPr>
      </w:pPr>
      <w:r w:rsidRPr="0055035A">
        <w:rPr>
          <w:rFonts w:ascii="Times New Roman" w:eastAsia="Times New Roman" w:hAnsi="Times New Roman" w:cs="Times New Roman"/>
          <w:b/>
          <w:bCs/>
          <w:kern w:val="0"/>
          <w14:ligatures w14:val="none"/>
        </w:rPr>
        <w:t>Validation and Uptake Mechanisms</w:t>
      </w:r>
      <w:r w:rsidR="0055035A" w:rsidRPr="0055035A">
        <w:rPr>
          <w:rFonts w:ascii="Times New Roman" w:eastAsia="Times New Roman" w:hAnsi="Times New Roman" w:cs="Times New Roman"/>
          <w:b/>
          <w:bCs/>
          <w:kern w:val="0"/>
          <w14:ligatures w14:val="none"/>
        </w:rPr>
        <w:t xml:space="preserve">: </w:t>
      </w:r>
      <w:r w:rsidRPr="00D94C2A">
        <w:rPr>
          <w:rFonts w:ascii="Times New Roman" w:eastAsia="Times New Roman" w:hAnsi="Times New Roman" w:cs="Times New Roman"/>
          <w:kern w:val="0"/>
          <w14:ligatures w14:val="none"/>
        </w:rPr>
        <w:t xml:space="preserve">Preliminary findings reveal overlapping governance and climate vulnerabilities: most allocations (70–72%) pass through customary systems; only 18% of women’s plots are documented, often in degraded or drought-prone areas with 30–40% lower yields. Regions with gender-inclusive commissions report higher documentation rates </w:t>
      </w:r>
      <w:r w:rsidRPr="00D94C2A">
        <w:rPr>
          <w:rFonts w:ascii="Times New Roman" w:eastAsia="Times New Roman" w:hAnsi="Times New Roman" w:cs="Times New Roman"/>
          <w:kern w:val="0"/>
          <w14:ligatures w14:val="none"/>
        </w:rPr>
        <w:lastRenderedPageBreak/>
        <w:t>and fewer disputes, while women’s cooperatives lead innovations in land restoration and climate-smart farming.</w:t>
      </w:r>
    </w:p>
    <w:p w14:paraId="1E53CC84" w14:textId="77777777" w:rsidR="0055035A" w:rsidRPr="00D94C2A" w:rsidRDefault="0055035A" w:rsidP="00D94C2A">
      <w:pPr>
        <w:spacing w:after="0" w:line="240" w:lineRule="auto"/>
        <w:rPr>
          <w:rFonts w:ascii="Times New Roman" w:eastAsia="Times New Roman" w:hAnsi="Times New Roman" w:cs="Times New Roman"/>
          <w:kern w:val="0"/>
          <w14:ligatures w14:val="none"/>
        </w:rPr>
      </w:pPr>
    </w:p>
    <w:p w14:paraId="6C759FDC" w14:textId="7AA36922" w:rsidR="00D94C2A" w:rsidRPr="0055035A" w:rsidRDefault="00D94C2A" w:rsidP="0055035A">
      <w:p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These interim findings were validated at the National Workshop on Gender, Land, and Climate Resilience (Dakar, 29–30 October 2025), attended by 44 participants from government, academia, and civil society. Feedback refined the analytical framework and recommendations.</w:t>
      </w:r>
      <w:r w:rsidR="0055035A" w:rsidRPr="0055035A">
        <w:rPr>
          <w:rFonts w:ascii="Times New Roman" w:eastAsia="Times New Roman" w:hAnsi="Times New Roman" w:cs="Times New Roman"/>
          <w:kern w:val="0"/>
          <w14:ligatures w14:val="none"/>
        </w:rPr>
        <w:t xml:space="preserve"> </w:t>
      </w:r>
      <w:r w:rsidRPr="00D94C2A">
        <w:rPr>
          <w:rFonts w:ascii="Times New Roman" w:eastAsia="Times New Roman" w:hAnsi="Times New Roman" w:cs="Times New Roman"/>
          <w:kern w:val="0"/>
          <w14:ligatures w14:val="none"/>
        </w:rPr>
        <w:t>A High-Level Policy Dialogue scheduled for February 2026 will convene senior officials, partners, and private-sector actors to translate evidence into actionable policy, define institutional roles, and establish monitoring frameworks for gender and climate outcomes.</w:t>
      </w:r>
    </w:p>
    <w:p w14:paraId="619BC993" w14:textId="77777777" w:rsidR="0055035A" w:rsidRPr="00D94C2A" w:rsidRDefault="0055035A" w:rsidP="00D94C2A">
      <w:pPr>
        <w:spacing w:after="0" w:line="240" w:lineRule="auto"/>
        <w:rPr>
          <w:rFonts w:ascii="Times New Roman" w:eastAsia="Times New Roman" w:hAnsi="Times New Roman" w:cs="Times New Roman"/>
          <w:kern w:val="0"/>
          <w14:ligatures w14:val="none"/>
        </w:rPr>
      </w:pPr>
    </w:p>
    <w:p w14:paraId="6B40A42A" w14:textId="4F7FF5DC" w:rsidR="00D94C2A" w:rsidRPr="0055035A" w:rsidRDefault="00D94C2A" w:rsidP="0055035A">
      <w:pPr>
        <w:pStyle w:val="ListParagraph"/>
        <w:numPr>
          <w:ilvl w:val="0"/>
          <w:numId w:val="27"/>
        </w:numPr>
        <w:spacing w:after="0" w:line="240" w:lineRule="auto"/>
        <w:outlineLvl w:val="2"/>
        <w:rPr>
          <w:rFonts w:ascii="Times New Roman" w:eastAsia="Times New Roman" w:hAnsi="Times New Roman" w:cs="Times New Roman"/>
          <w:b/>
          <w:bCs/>
          <w:kern w:val="0"/>
          <w14:ligatures w14:val="none"/>
        </w:rPr>
      </w:pPr>
      <w:r w:rsidRPr="0055035A">
        <w:rPr>
          <w:rFonts w:ascii="Times New Roman" w:eastAsia="Times New Roman" w:hAnsi="Times New Roman" w:cs="Times New Roman"/>
          <w:b/>
          <w:bCs/>
          <w:kern w:val="0"/>
          <w14:ligatures w14:val="none"/>
        </w:rPr>
        <w:t>Expected Results</w:t>
      </w:r>
    </w:p>
    <w:p w14:paraId="0D213F24" w14:textId="77777777" w:rsidR="0055035A" w:rsidRPr="0055035A" w:rsidRDefault="0055035A" w:rsidP="0055035A">
      <w:pPr>
        <w:pStyle w:val="ListParagraph"/>
        <w:spacing w:after="0" w:line="240" w:lineRule="auto"/>
        <w:outlineLvl w:val="2"/>
        <w:rPr>
          <w:rFonts w:ascii="Times New Roman" w:eastAsia="Times New Roman" w:hAnsi="Times New Roman" w:cs="Times New Roman"/>
          <w:b/>
          <w:bCs/>
          <w:kern w:val="0"/>
          <w14:ligatures w14:val="none"/>
        </w:rPr>
      </w:pPr>
    </w:p>
    <w:p w14:paraId="18BB87C1" w14:textId="5AC673A6" w:rsidR="00D94C2A" w:rsidRPr="0055035A" w:rsidRDefault="00D94C2A" w:rsidP="0055035A">
      <w:p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The study is expected to confirm strong correlations between women’s land insecurity and exposure to climate hazards. Quantitative analysis will show that institutional inclusion, especially women’s participation in land commissions, significantly improves documentation and reduces disputes. Spatial modeling will generate predictive maps pinpointing areas where tenure reform and climate adaptation must converge.</w:t>
      </w:r>
      <w:r w:rsidR="0055035A" w:rsidRPr="0055035A">
        <w:rPr>
          <w:rFonts w:ascii="Times New Roman" w:eastAsia="Times New Roman" w:hAnsi="Times New Roman" w:cs="Times New Roman"/>
          <w:kern w:val="0"/>
          <w14:ligatures w14:val="none"/>
        </w:rPr>
        <w:t xml:space="preserve"> </w:t>
      </w:r>
      <w:r w:rsidRPr="00D94C2A">
        <w:rPr>
          <w:rFonts w:ascii="Times New Roman" w:eastAsia="Times New Roman" w:hAnsi="Times New Roman" w:cs="Times New Roman"/>
          <w:kern w:val="0"/>
          <w14:ligatures w14:val="none"/>
        </w:rPr>
        <w:t>The findings will inform the implementation of Senegal’s National Land Policy (2026–2035) and the AfDB’s broader gender and natural resource management agenda, offering replicable tools for climate-resilient governance across Africa.</w:t>
      </w:r>
    </w:p>
    <w:p w14:paraId="6D53C1E4" w14:textId="7ADA7C8B" w:rsidR="00D94C2A" w:rsidRPr="00D94C2A" w:rsidRDefault="00D94C2A" w:rsidP="00D94C2A">
      <w:pPr>
        <w:spacing w:after="0" w:line="240" w:lineRule="auto"/>
        <w:rPr>
          <w:rFonts w:ascii="Times New Roman" w:eastAsia="Times New Roman" w:hAnsi="Times New Roman" w:cs="Times New Roman"/>
          <w:kern w:val="0"/>
          <w14:ligatures w14:val="none"/>
        </w:rPr>
      </w:pPr>
    </w:p>
    <w:p w14:paraId="41422C4F" w14:textId="199D74B8" w:rsidR="00D94C2A" w:rsidRPr="0055035A" w:rsidRDefault="00D94C2A" w:rsidP="0055035A">
      <w:pPr>
        <w:pStyle w:val="ListParagraph"/>
        <w:numPr>
          <w:ilvl w:val="0"/>
          <w:numId w:val="27"/>
        </w:numPr>
        <w:spacing w:after="0" w:line="240" w:lineRule="auto"/>
        <w:outlineLvl w:val="2"/>
        <w:rPr>
          <w:rFonts w:ascii="Times New Roman" w:eastAsia="Times New Roman" w:hAnsi="Times New Roman" w:cs="Times New Roman"/>
          <w:b/>
          <w:bCs/>
          <w:kern w:val="0"/>
          <w14:ligatures w14:val="none"/>
        </w:rPr>
      </w:pPr>
      <w:r w:rsidRPr="0055035A">
        <w:rPr>
          <w:rFonts w:ascii="Times New Roman" w:eastAsia="Times New Roman" w:hAnsi="Times New Roman" w:cs="Times New Roman"/>
          <w:b/>
          <w:bCs/>
          <w:kern w:val="0"/>
          <w14:ligatures w14:val="none"/>
        </w:rPr>
        <w:t>Conclusion</w:t>
      </w:r>
    </w:p>
    <w:p w14:paraId="4015A666" w14:textId="77777777" w:rsidR="0055035A" w:rsidRPr="0055035A" w:rsidRDefault="0055035A" w:rsidP="0055035A">
      <w:pPr>
        <w:pStyle w:val="ListParagraph"/>
        <w:spacing w:after="0" w:line="240" w:lineRule="auto"/>
        <w:outlineLvl w:val="2"/>
        <w:rPr>
          <w:rFonts w:ascii="Times New Roman" w:eastAsia="Times New Roman" w:hAnsi="Times New Roman" w:cs="Times New Roman"/>
          <w:b/>
          <w:bCs/>
          <w:kern w:val="0"/>
          <w14:ligatures w14:val="none"/>
        </w:rPr>
      </w:pPr>
    </w:p>
    <w:p w14:paraId="4D51629F" w14:textId="0D804178" w:rsidR="00D94C2A" w:rsidRPr="0055035A" w:rsidRDefault="00D94C2A" w:rsidP="0055035A">
      <w:pPr>
        <w:spacing w:after="0" w:line="240" w:lineRule="auto"/>
        <w:jc w:val="both"/>
        <w:rPr>
          <w:rFonts w:ascii="Times New Roman" w:eastAsia="Times New Roman" w:hAnsi="Times New Roman" w:cs="Times New Roman"/>
          <w:kern w:val="0"/>
          <w14:ligatures w14:val="none"/>
        </w:rPr>
      </w:pPr>
      <w:r w:rsidRPr="00D94C2A">
        <w:rPr>
          <w:rFonts w:ascii="Times New Roman" w:eastAsia="Times New Roman" w:hAnsi="Times New Roman" w:cs="Times New Roman"/>
          <w:kern w:val="0"/>
          <w14:ligatures w14:val="none"/>
        </w:rPr>
        <w:t>Securing women’s land rights is both a justice imperative and a climate resilience strategy. Women with secure tenure invest in restoration, agroforestry, and sustainable farming, strengthening livelihoods and ecosystems alike.</w:t>
      </w:r>
      <w:r w:rsidR="0055035A" w:rsidRPr="0055035A">
        <w:rPr>
          <w:rFonts w:ascii="Times New Roman" w:eastAsia="Times New Roman" w:hAnsi="Times New Roman" w:cs="Times New Roman"/>
          <w:kern w:val="0"/>
          <w14:ligatures w14:val="none"/>
        </w:rPr>
        <w:t xml:space="preserve"> </w:t>
      </w:r>
      <w:r w:rsidRPr="00D94C2A">
        <w:rPr>
          <w:rFonts w:ascii="Times New Roman" w:eastAsia="Times New Roman" w:hAnsi="Times New Roman" w:cs="Times New Roman"/>
          <w:kern w:val="0"/>
          <w14:ligatures w14:val="none"/>
        </w:rPr>
        <w:t>By integrating administrative data, satellite diagnostics, and participatory insights, this study identifies where reforms can most effectively advance inclusion and resilience. The forthcoming policy dialogue will anchor these reforms in national frameworks, aligning institutional commitments, financing, and accountability.</w:t>
      </w:r>
      <w:r w:rsidR="0055035A" w:rsidRPr="0055035A">
        <w:rPr>
          <w:rFonts w:ascii="Times New Roman" w:eastAsia="Times New Roman" w:hAnsi="Times New Roman" w:cs="Times New Roman"/>
          <w:kern w:val="0"/>
          <w14:ligatures w14:val="none"/>
        </w:rPr>
        <w:t xml:space="preserve"> </w:t>
      </w:r>
      <w:r w:rsidRPr="00D94C2A">
        <w:rPr>
          <w:rFonts w:ascii="Times New Roman" w:eastAsia="Times New Roman" w:hAnsi="Times New Roman" w:cs="Times New Roman"/>
          <w:kern w:val="0"/>
          <w14:ligatures w14:val="none"/>
        </w:rPr>
        <w:t>Empowering women through secure, adaptive land rights will transform vulnerability into resilience and unlock Senegal’s potential for inclusive, climate-smart growth.</w:t>
      </w:r>
    </w:p>
    <w:p w14:paraId="4A91AF36" w14:textId="77777777" w:rsidR="0055035A" w:rsidRPr="00D94C2A" w:rsidRDefault="0055035A" w:rsidP="00D94C2A">
      <w:pPr>
        <w:spacing w:after="0" w:line="240" w:lineRule="auto"/>
        <w:rPr>
          <w:rFonts w:ascii="Times New Roman" w:eastAsia="Times New Roman" w:hAnsi="Times New Roman" w:cs="Times New Roman"/>
          <w:b/>
          <w:bCs/>
          <w:kern w:val="0"/>
          <w14:ligatures w14:val="none"/>
        </w:rPr>
      </w:pPr>
    </w:p>
    <w:p w14:paraId="46415EE7" w14:textId="77777777" w:rsidR="00D94C2A" w:rsidRPr="00D94C2A" w:rsidRDefault="00D94C2A" w:rsidP="00D94C2A">
      <w:pPr>
        <w:spacing w:after="0" w:line="240" w:lineRule="auto"/>
        <w:rPr>
          <w:rFonts w:ascii="Times New Roman" w:eastAsia="Times New Roman" w:hAnsi="Times New Roman" w:cs="Times New Roman"/>
          <w:i/>
          <w:iCs/>
          <w:kern w:val="0"/>
          <w14:ligatures w14:val="none"/>
        </w:rPr>
      </w:pPr>
      <w:r w:rsidRPr="00D94C2A">
        <w:rPr>
          <w:rFonts w:ascii="Times New Roman" w:eastAsia="Times New Roman" w:hAnsi="Times New Roman" w:cs="Times New Roman"/>
          <w:b/>
          <w:bCs/>
          <w:kern w:val="0"/>
          <w14:ligatures w14:val="none"/>
        </w:rPr>
        <w:t xml:space="preserve">Keywords: </w:t>
      </w:r>
      <w:r w:rsidRPr="00D94C2A">
        <w:rPr>
          <w:rFonts w:ascii="Times New Roman" w:eastAsia="Times New Roman" w:hAnsi="Times New Roman" w:cs="Times New Roman"/>
          <w:i/>
          <w:iCs/>
          <w:kern w:val="0"/>
          <w14:ligatures w14:val="none"/>
        </w:rPr>
        <w:t>gender–climate nexus; land governance; adaptive tenure security; equitable land reform; Senegal.</w:t>
      </w:r>
    </w:p>
    <w:p w14:paraId="034E9EA0" w14:textId="77777777" w:rsidR="00435E02" w:rsidRDefault="00435E02"/>
    <w:sectPr w:rsidR="00435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710"/>
    <w:multiLevelType w:val="multilevel"/>
    <w:tmpl w:val="72BA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8380C"/>
    <w:multiLevelType w:val="multilevel"/>
    <w:tmpl w:val="AC4C6B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94BF8"/>
    <w:multiLevelType w:val="multilevel"/>
    <w:tmpl w:val="55DA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92C22"/>
    <w:multiLevelType w:val="multilevel"/>
    <w:tmpl w:val="8EF0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E7774"/>
    <w:multiLevelType w:val="multilevel"/>
    <w:tmpl w:val="E78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3498E"/>
    <w:multiLevelType w:val="multilevel"/>
    <w:tmpl w:val="16F28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03D4F"/>
    <w:multiLevelType w:val="multilevel"/>
    <w:tmpl w:val="BFD832F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74D97"/>
    <w:multiLevelType w:val="multilevel"/>
    <w:tmpl w:val="B370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394395"/>
    <w:multiLevelType w:val="multilevel"/>
    <w:tmpl w:val="EAD6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C46F4"/>
    <w:multiLevelType w:val="multilevel"/>
    <w:tmpl w:val="A154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80CFC"/>
    <w:multiLevelType w:val="multilevel"/>
    <w:tmpl w:val="06008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C56029"/>
    <w:multiLevelType w:val="multilevel"/>
    <w:tmpl w:val="9EC80552"/>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377258D"/>
    <w:multiLevelType w:val="multilevel"/>
    <w:tmpl w:val="FCFE46B4"/>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BC36953"/>
    <w:multiLevelType w:val="multilevel"/>
    <w:tmpl w:val="B62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607A6D"/>
    <w:multiLevelType w:val="multilevel"/>
    <w:tmpl w:val="D6C8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6A777D"/>
    <w:multiLevelType w:val="multilevel"/>
    <w:tmpl w:val="A13AE1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E55E9"/>
    <w:multiLevelType w:val="multilevel"/>
    <w:tmpl w:val="23BE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0128F"/>
    <w:multiLevelType w:val="multilevel"/>
    <w:tmpl w:val="71F4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722C63"/>
    <w:multiLevelType w:val="multilevel"/>
    <w:tmpl w:val="7298A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D11F42"/>
    <w:multiLevelType w:val="multilevel"/>
    <w:tmpl w:val="651C5C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07D48"/>
    <w:multiLevelType w:val="multilevel"/>
    <w:tmpl w:val="FF3E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B436F5"/>
    <w:multiLevelType w:val="multilevel"/>
    <w:tmpl w:val="A13AE1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16E86"/>
    <w:multiLevelType w:val="multilevel"/>
    <w:tmpl w:val="D8DE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66AC9"/>
    <w:multiLevelType w:val="multilevel"/>
    <w:tmpl w:val="3F028D1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3B4F6B"/>
    <w:multiLevelType w:val="multilevel"/>
    <w:tmpl w:val="1B5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63C36"/>
    <w:multiLevelType w:val="multilevel"/>
    <w:tmpl w:val="25C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75C82"/>
    <w:multiLevelType w:val="multilevel"/>
    <w:tmpl w:val="55E2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1A7797"/>
    <w:multiLevelType w:val="multilevel"/>
    <w:tmpl w:val="5F24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B414F"/>
    <w:multiLevelType w:val="multilevel"/>
    <w:tmpl w:val="8C50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D57BF"/>
    <w:multiLevelType w:val="multilevel"/>
    <w:tmpl w:val="AD3C7096"/>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65704529">
    <w:abstractNumId w:val="27"/>
  </w:num>
  <w:num w:numId="2" w16cid:durableId="322582755">
    <w:abstractNumId w:val="2"/>
  </w:num>
  <w:num w:numId="3" w16cid:durableId="1861157979">
    <w:abstractNumId w:val="9"/>
  </w:num>
  <w:num w:numId="4" w16cid:durableId="141894329">
    <w:abstractNumId w:val="17"/>
  </w:num>
  <w:num w:numId="5" w16cid:durableId="1053381758">
    <w:abstractNumId w:val="13"/>
  </w:num>
  <w:num w:numId="6" w16cid:durableId="1072629771">
    <w:abstractNumId w:val="7"/>
  </w:num>
  <w:num w:numId="7" w16cid:durableId="1903179283">
    <w:abstractNumId w:val="25"/>
  </w:num>
  <w:num w:numId="8" w16cid:durableId="420881818">
    <w:abstractNumId w:val="8"/>
  </w:num>
  <w:num w:numId="9" w16cid:durableId="1984894879">
    <w:abstractNumId w:val="16"/>
  </w:num>
  <w:num w:numId="10" w16cid:durableId="847790549">
    <w:abstractNumId w:val="24"/>
  </w:num>
  <w:num w:numId="11" w16cid:durableId="1982999467">
    <w:abstractNumId w:val="20"/>
  </w:num>
  <w:num w:numId="12" w16cid:durableId="751199888">
    <w:abstractNumId w:val="21"/>
  </w:num>
  <w:num w:numId="13" w16cid:durableId="597829710">
    <w:abstractNumId w:val="26"/>
  </w:num>
  <w:num w:numId="14" w16cid:durableId="375660005">
    <w:abstractNumId w:val="22"/>
  </w:num>
  <w:num w:numId="15" w16cid:durableId="538326050">
    <w:abstractNumId w:val="3"/>
  </w:num>
  <w:num w:numId="16" w16cid:durableId="1607930410">
    <w:abstractNumId w:val="14"/>
  </w:num>
  <w:num w:numId="17" w16cid:durableId="1347370660">
    <w:abstractNumId w:val="0"/>
  </w:num>
  <w:num w:numId="18" w16cid:durableId="483472629">
    <w:abstractNumId w:val="18"/>
  </w:num>
  <w:num w:numId="19" w16cid:durableId="1457094419">
    <w:abstractNumId w:val="1"/>
  </w:num>
  <w:num w:numId="20" w16cid:durableId="1034303503">
    <w:abstractNumId w:val="6"/>
  </w:num>
  <w:num w:numId="21" w16cid:durableId="6642854">
    <w:abstractNumId w:val="23"/>
  </w:num>
  <w:num w:numId="22" w16cid:durableId="1813060767">
    <w:abstractNumId w:val="19"/>
  </w:num>
  <w:num w:numId="23" w16cid:durableId="1099372597">
    <w:abstractNumId w:val="15"/>
  </w:num>
  <w:num w:numId="24" w16cid:durableId="693849943">
    <w:abstractNumId w:val="4"/>
  </w:num>
  <w:num w:numId="25" w16cid:durableId="87386529">
    <w:abstractNumId w:val="28"/>
  </w:num>
  <w:num w:numId="26" w16cid:durableId="839465844">
    <w:abstractNumId w:val="5"/>
  </w:num>
  <w:num w:numId="27" w16cid:durableId="96875898">
    <w:abstractNumId w:val="10"/>
  </w:num>
  <w:num w:numId="28" w16cid:durableId="1548756857">
    <w:abstractNumId w:val="12"/>
  </w:num>
  <w:num w:numId="29" w16cid:durableId="98372653">
    <w:abstractNumId w:val="29"/>
  </w:num>
  <w:num w:numId="30" w16cid:durableId="1129058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51"/>
    <w:rsid w:val="001A3B9C"/>
    <w:rsid w:val="00435E02"/>
    <w:rsid w:val="0055035A"/>
    <w:rsid w:val="00550E1D"/>
    <w:rsid w:val="00656A51"/>
    <w:rsid w:val="0066477B"/>
    <w:rsid w:val="008A29C2"/>
    <w:rsid w:val="00D94C2A"/>
    <w:rsid w:val="00DE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84F96"/>
  <w15:chartTrackingRefBased/>
  <w15:docId w15:val="{21FCC16E-658F-4160-97F1-FA82FEB4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A51"/>
    <w:rPr>
      <w:rFonts w:eastAsiaTheme="majorEastAsia" w:cstheme="majorBidi"/>
      <w:color w:val="272727" w:themeColor="text1" w:themeTint="D8"/>
    </w:rPr>
  </w:style>
  <w:style w:type="paragraph" w:styleId="Title">
    <w:name w:val="Title"/>
    <w:basedOn w:val="Normal"/>
    <w:next w:val="Normal"/>
    <w:link w:val="TitleChar"/>
    <w:uiPriority w:val="10"/>
    <w:qFormat/>
    <w:rsid w:val="00656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A51"/>
    <w:pPr>
      <w:spacing w:before="160"/>
      <w:jc w:val="center"/>
    </w:pPr>
    <w:rPr>
      <w:i/>
      <w:iCs/>
      <w:color w:val="404040" w:themeColor="text1" w:themeTint="BF"/>
    </w:rPr>
  </w:style>
  <w:style w:type="character" w:customStyle="1" w:styleId="QuoteChar">
    <w:name w:val="Quote Char"/>
    <w:basedOn w:val="DefaultParagraphFont"/>
    <w:link w:val="Quote"/>
    <w:uiPriority w:val="29"/>
    <w:rsid w:val="00656A51"/>
    <w:rPr>
      <w:i/>
      <w:iCs/>
      <w:color w:val="404040" w:themeColor="text1" w:themeTint="BF"/>
    </w:rPr>
  </w:style>
  <w:style w:type="paragraph" w:styleId="ListParagraph">
    <w:name w:val="List Paragraph"/>
    <w:basedOn w:val="Normal"/>
    <w:uiPriority w:val="34"/>
    <w:qFormat/>
    <w:rsid w:val="00656A51"/>
    <w:pPr>
      <w:ind w:left="720"/>
      <w:contextualSpacing/>
    </w:pPr>
  </w:style>
  <w:style w:type="character" w:styleId="IntenseEmphasis">
    <w:name w:val="Intense Emphasis"/>
    <w:basedOn w:val="DefaultParagraphFont"/>
    <w:uiPriority w:val="21"/>
    <w:qFormat/>
    <w:rsid w:val="00656A51"/>
    <w:rPr>
      <w:i/>
      <w:iCs/>
      <w:color w:val="0F4761" w:themeColor="accent1" w:themeShade="BF"/>
    </w:rPr>
  </w:style>
  <w:style w:type="paragraph" w:styleId="IntenseQuote">
    <w:name w:val="Intense Quote"/>
    <w:basedOn w:val="Normal"/>
    <w:next w:val="Normal"/>
    <w:link w:val="IntenseQuoteChar"/>
    <w:uiPriority w:val="30"/>
    <w:qFormat/>
    <w:rsid w:val="00656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A51"/>
    <w:rPr>
      <w:i/>
      <w:iCs/>
      <w:color w:val="0F4761" w:themeColor="accent1" w:themeShade="BF"/>
    </w:rPr>
  </w:style>
  <w:style w:type="character" w:styleId="IntenseReference">
    <w:name w:val="Intense Reference"/>
    <w:basedOn w:val="DefaultParagraphFont"/>
    <w:uiPriority w:val="32"/>
    <w:qFormat/>
    <w:rsid w:val="00656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9324">
      <w:bodyDiv w:val="1"/>
      <w:marLeft w:val="0"/>
      <w:marRight w:val="0"/>
      <w:marTop w:val="0"/>
      <w:marBottom w:val="0"/>
      <w:divBdr>
        <w:top w:val="none" w:sz="0" w:space="0" w:color="auto"/>
        <w:left w:val="none" w:sz="0" w:space="0" w:color="auto"/>
        <w:bottom w:val="none" w:sz="0" w:space="0" w:color="auto"/>
        <w:right w:val="none" w:sz="0" w:space="0" w:color="auto"/>
      </w:divBdr>
    </w:div>
    <w:div w:id="991063035">
      <w:bodyDiv w:val="1"/>
      <w:marLeft w:val="0"/>
      <w:marRight w:val="0"/>
      <w:marTop w:val="0"/>
      <w:marBottom w:val="0"/>
      <w:divBdr>
        <w:top w:val="none" w:sz="0" w:space="0" w:color="auto"/>
        <w:left w:val="none" w:sz="0" w:space="0" w:color="auto"/>
        <w:bottom w:val="none" w:sz="0" w:space="0" w:color="auto"/>
        <w:right w:val="none" w:sz="0" w:space="0" w:color="auto"/>
      </w:divBdr>
    </w:div>
    <w:div w:id="1360739036">
      <w:bodyDiv w:val="1"/>
      <w:marLeft w:val="0"/>
      <w:marRight w:val="0"/>
      <w:marTop w:val="0"/>
      <w:marBottom w:val="0"/>
      <w:divBdr>
        <w:top w:val="none" w:sz="0" w:space="0" w:color="auto"/>
        <w:left w:val="none" w:sz="0" w:space="0" w:color="auto"/>
        <w:bottom w:val="none" w:sz="0" w:space="0" w:color="auto"/>
        <w:right w:val="none" w:sz="0" w:space="0" w:color="auto"/>
      </w:divBdr>
    </w:div>
    <w:div w:id="18703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1000</Words>
  <Characters>6741</Characters>
  <Application>Microsoft Office Word</Application>
  <DocSecurity>0</DocSecurity>
  <Lines>123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MAREALLE, MARIA SAGUTI</dc:creator>
  <cp:keywords/>
  <dc:description/>
  <cp:lastModifiedBy>MAREALLE, MARIA SAGUTI</cp:lastModifiedBy>
  <cp:revision>1</cp:revision>
  <dcterms:created xsi:type="dcterms:W3CDTF">2025-11-11T17:10:00Z</dcterms:created>
  <dcterms:modified xsi:type="dcterms:W3CDTF">2025-11-11T17:54:00Z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dfa85391-0861-40ca-a669-79444ed8634c</vt:lpwstr>
  </property>
</Properties>
</file>